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C1D4" w14:textId="7D237604" w:rsidR="00A81DD5" w:rsidRDefault="000C4338" w:rsidP="00BA0AED">
      <w:pPr>
        <w:jc w:val="center"/>
        <w:rPr>
          <w:rFonts w:ascii="Arial" w:hAnsi="Arial" w:cs="Arial"/>
          <w:b/>
          <w:szCs w:val="18"/>
          <w:lang w:eastAsia="ru-RU"/>
        </w:rPr>
      </w:pPr>
      <w:r>
        <w:rPr>
          <w:noProof/>
          <w:lang w:val="uk-UA" w:eastAsia="uk-UA"/>
        </w:rPr>
        <w:drawing>
          <wp:anchor distT="0" distB="0" distL="114300" distR="114300" simplePos="0" relativeHeight="251658240" behindDoc="0" locked="0" layoutInCell="1" allowOverlap="1" wp14:anchorId="047929DC" wp14:editId="54736872">
            <wp:simplePos x="0" y="0"/>
            <wp:positionH relativeFrom="column">
              <wp:posOffset>-816610</wp:posOffset>
            </wp:positionH>
            <wp:positionV relativeFrom="paragraph">
              <wp:posOffset>-295275</wp:posOffset>
            </wp:positionV>
            <wp:extent cx="762635" cy="899795"/>
            <wp:effectExtent l="0" t="0" r="0" b="0"/>
            <wp:wrapSquare wrapText="bothSides"/>
            <wp:docPr id="1" name="Рисунок 1" descr="NEWLOGO"/>
            <wp:cNvGraphicFramePr/>
            <a:graphic xmlns:a="http://schemas.openxmlformats.org/drawingml/2006/main">
              <a:graphicData uri="http://schemas.openxmlformats.org/drawingml/2006/picture">
                <pic:pic xmlns:pic="http://schemas.openxmlformats.org/drawingml/2006/picture">
                  <pic:nvPicPr>
                    <pic:cNvPr id="1" name="Рисунок 1" descr="NEW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63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05B59" w14:textId="297EB646" w:rsidR="00002BFC" w:rsidRPr="00FE09A7" w:rsidRDefault="00BA0AED" w:rsidP="00BA0AED">
      <w:pPr>
        <w:jc w:val="center"/>
        <w:rPr>
          <w:rFonts w:ascii="Arial" w:hAnsi="Arial" w:cs="Arial"/>
          <w:b/>
          <w:szCs w:val="18"/>
          <w:lang w:eastAsia="ru-RU"/>
        </w:rPr>
      </w:pPr>
      <w:r w:rsidRPr="00FE09A7">
        <w:rPr>
          <w:rFonts w:ascii="Arial" w:hAnsi="Arial" w:cs="Arial"/>
          <w:b/>
          <w:szCs w:val="18"/>
          <w:lang w:eastAsia="ru-RU"/>
        </w:rPr>
        <w:t>Программа обучения</w:t>
      </w:r>
    </w:p>
    <w:p w14:paraId="360D3C53" w14:textId="77777777" w:rsidR="00BA0AED" w:rsidRPr="00FE09A7" w:rsidRDefault="00BA0AED" w:rsidP="00BA0AED">
      <w:pPr>
        <w:jc w:val="center"/>
        <w:rPr>
          <w:rFonts w:ascii="Arial" w:hAnsi="Arial" w:cs="Arial"/>
          <w:b/>
          <w:szCs w:val="18"/>
          <w:lang w:eastAsia="ru-RU"/>
        </w:rPr>
      </w:pPr>
      <w:r w:rsidRPr="00FE09A7">
        <w:rPr>
          <w:rFonts w:ascii="Arial" w:hAnsi="Arial" w:cs="Arial"/>
          <w:b/>
          <w:szCs w:val="18"/>
          <w:lang w:eastAsia="ru-RU"/>
        </w:rPr>
        <w:t>по курсу ICFM-</w:t>
      </w:r>
      <w:proofErr w:type="spellStart"/>
      <w:r w:rsidRPr="00FE09A7">
        <w:rPr>
          <w:rFonts w:ascii="Arial" w:hAnsi="Arial" w:cs="Arial"/>
          <w:b/>
          <w:szCs w:val="18"/>
          <w:lang w:eastAsia="ru-RU"/>
        </w:rPr>
        <w:t>DipIAS</w:t>
      </w:r>
      <w:proofErr w:type="spellEnd"/>
      <w:r w:rsidRPr="00FE09A7">
        <w:rPr>
          <w:rFonts w:ascii="Arial" w:hAnsi="Arial" w:cs="Arial"/>
          <w:b/>
          <w:szCs w:val="18"/>
          <w:lang w:eastAsia="ru-RU"/>
        </w:rPr>
        <w:t xml:space="preserve"> — международный диплом по программе </w:t>
      </w:r>
    </w:p>
    <w:p w14:paraId="34D01192" w14:textId="77777777" w:rsidR="00BA0AED" w:rsidRDefault="00BA0AED" w:rsidP="00BA0AED">
      <w:pPr>
        <w:jc w:val="center"/>
        <w:rPr>
          <w:rFonts w:ascii="Arial" w:hAnsi="Arial" w:cs="Arial"/>
          <w:b/>
          <w:szCs w:val="18"/>
          <w:lang w:eastAsia="ru-RU"/>
        </w:rPr>
      </w:pPr>
      <w:r w:rsidRPr="00FE09A7">
        <w:rPr>
          <w:rFonts w:ascii="Arial" w:hAnsi="Arial" w:cs="Arial"/>
          <w:b/>
          <w:szCs w:val="18"/>
          <w:lang w:eastAsia="ru-RU"/>
        </w:rPr>
        <w:t>«МСФО и финансовый учет»</w:t>
      </w:r>
    </w:p>
    <w:p w14:paraId="64D715B5" w14:textId="77777777" w:rsidR="00A81DD5" w:rsidRDefault="00A81DD5" w:rsidP="00BA0AED">
      <w:pPr>
        <w:jc w:val="center"/>
        <w:rPr>
          <w:rFonts w:ascii="Arial" w:hAnsi="Arial" w:cs="Arial"/>
          <w:b/>
          <w:szCs w:val="18"/>
          <w:lang w:eastAsia="ru-RU"/>
        </w:rPr>
      </w:pPr>
    </w:p>
    <w:p w14:paraId="19EA2787" w14:textId="77777777" w:rsidR="00A204DF" w:rsidRPr="00C310D4" w:rsidRDefault="00A204DF" w:rsidP="00BA0AED">
      <w:pPr>
        <w:jc w:val="center"/>
        <w:rPr>
          <w:rFonts w:ascii="Arial" w:hAnsi="Arial" w:cs="Arial"/>
          <w:b/>
          <w:sz w:val="22"/>
          <w:szCs w:val="18"/>
          <w:lang w:eastAsia="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785"/>
        <w:gridCol w:w="4761"/>
        <w:gridCol w:w="671"/>
        <w:gridCol w:w="671"/>
        <w:gridCol w:w="672"/>
      </w:tblGrid>
      <w:tr w:rsidR="00A81DD5" w:rsidRPr="00C310D4" w14:paraId="0E8AA19C" w14:textId="77777777" w:rsidTr="00A81DD5">
        <w:trPr>
          <w:cantSplit/>
          <w:trHeight w:val="2085"/>
        </w:trPr>
        <w:tc>
          <w:tcPr>
            <w:tcW w:w="512" w:type="dxa"/>
            <w:shd w:val="clear" w:color="auto" w:fill="auto"/>
            <w:vAlign w:val="center"/>
            <w:hideMark/>
          </w:tcPr>
          <w:p w14:paraId="5CAE1FB3" w14:textId="3E318F43" w:rsidR="00C310D4" w:rsidRPr="00C310D4" w:rsidRDefault="00C310D4" w:rsidP="00A81DD5">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w:t>
            </w:r>
          </w:p>
          <w:p w14:paraId="088288C0" w14:textId="1F030154" w:rsidR="00C310D4" w:rsidRPr="00A204DF" w:rsidRDefault="00C310D4" w:rsidP="00A81DD5">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п/п</w:t>
            </w:r>
          </w:p>
        </w:tc>
        <w:tc>
          <w:tcPr>
            <w:tcW w:w="1785" w:type="dxa"/>
            <w:shd w:val="clear" w:color="auto" w:fill="auto"/>
            <w:vAlign w:val="center"/>
            <w:hideMark/>
          </w:tcPr>
          <w:p w14:paraId="12C4D47E" w14:textId="77777777" w:rsidR="00C310D4" w:rsidRPr="00A204DF" w:rsidRDefault="00C310D4" w:rsidP="00A81DD5">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Наименование темы</w:t>
            </w:r>
          </w:p>
        </w:tc>
        <w:tc>
          <w:tcPr>
            <w:tcW w:w="4761" w:type="dxa"/>
            <w:shd w:val="clear" w:color="auto" w:fill="auto"/>
            <w:vAlign w:val="center"/>
            <w:hideMark/>
          </w:tcPr>
          <w:p w14:paraId="241895BB" w14:textId="77777777" w:rsidR="00C310D4" w:rsidRPr="00A204DF" w:rsidRDefault="00C310D4" w:rsidP="00A81DD5">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Содержание</w:t>
            </w:r>
          </w:p>
        </w:tc>
        <w:tc>
          <w:tcPr>
            <w:tcW w:w="671" w:type="dxa"/>
            <w:shd w:val="clear" w:color="auto" w:fill="auto"/>
            <w:textDirection w:val="btLr"/>
            <w:vAlign w:val="center"/>
            <w:hideMark/>
          </w:tcPr>
          <w:p w14:paraId="5E34E400" w14:textId="77777777" w:rsidR="00C310D4" w:rsidRPr="00A204DF" w:rsidRDefault="00C310D4" w:rsidP="00A81DD5">
            <w:pPr>
              <w:ind w:left="113" w:right="113"/>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Аудиторное количество часов</w:t>
            </w:r>
          </w:p>
        </w:tc>
        <w:tc>
          <w:tcPr>
            <w:tcW w:w="671" w:type="dxa"/>
            <w:shd w:val="clear" w:color="auto" w:fill="auto"/>
            <w:textDirection w:val="btLr"/>
            <w:vAlign w:val="center"/>
            <w:hideMark/>
          </w:tcPr>
          <w:p w14:paraId="2E1BAF44" w14:textId="77777777" w:rsidR="00C310D4" w:rsidRPr="00A204DF" w:rsidRDefault="00C310D4" w:rsidP="00A81DD5">
            <w:pPr>
              <w:ind w:left="113" w:right="113"/>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Самостоятельная работа</w:t>
            </w:r>
          </w:p>
        </w:tc>
        <w:tc>
          <w:tcPr>
            <w:tcW w:w="672" w:type="dxa"/>
            <w:shd w:val="clear" w:color="auto" w:fill="auto"/>
            <w:textDirection w:val="btLr"/>
            <w:vAlign w:val="center"/>
            <w:hideMark/>
          </w:tcPr>
          <w:p w14:paraId="771F8051" w14:textId="77777777" w:rsidR="00C310D4" w:rsidRPr="00A204DF" w:rsidRDefault="00C310D4" w:rsidP="00A81DD5">
            <w:pPr>
              <w:ind w:left="113" w:right="113"/>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Всего</w:t>
            </w:r>
          </w:p>
        </w:tc>
      </w:tr>
      <w:tr w:rsidR="00A81DD5" w:rsidRPr="00C310D4" w14:paraId="5F722ABE" w14:textId="77777777" w:rsidTr="00A81DD5">
        <w:trPr>
          <w:trHeight w:val="340"/>
        </w:trPr>
        <w:tc>
          <w:tcPr>
            <w:tcW w:w="9072" w:type="dxa"/>
            <w:gridSpan w:val="6"/>
            <w:shd w:val="clear" w:color="000000" w:fill="D9D9D9"/>
            <w:vAlign w:val="center"/>
            <w:hideMark/>
          </w:tcPr>
          <w:p w14:paraId="6326B81D" w14:textId="0E0A8EBA" w:rsidR="00A204DF" w:rsidRPr="00A204DF" w:rsidRDefault="00A204DF" w:rsidP="00A204DF">
            <w:pPr>
              <w:jc w:val="center"/>
              <w:rPr>
                <w:rFonts w:ascii="Arial" w:eastAsia="Times New Roman" w:hAnsi="Arial" w:cs="Arial"/>
                <w:b/>
                <w:bCs/>
                <w:color w:val="000000"/>
                <w:sz w:val="18"/>
                <w:szCs w:val="20"/>
                <w:lang w:eastAsia="ru-RU"/>
              </w:rPr>
            </w:pPr>
          </w:p>
        </w:tc>
      </w:tr>
      <w:tr w:rsidR="00A81DD5" w:rsidRPr="00C310D4" w14:paraId="19F27610" w14:textId="77777777" w:rsidTr="00A81DD5">
        <w:trPr>
          <w:trHeight w:val="540"/>
        </w:trPr>
        <w:tc>
          <w:tcPr>
            <w:tcW w:w="512" w:type="dxa"/>
            <w:shd w:val="clear" w:color="auto" w:fill="auto"/>
            <w:vAlign w:val="center"/>
            <w:hideMark/>
          </w:tcPr>
          <w:p w14:paraId="39DE9EAE" w14:textId="2466A83B" w:rsidR="00A204DF" w:rsidRPr="00A204DF" w:rsidRDefault="00A204DF"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w:t>
            </w:r>
            <w:r w:rsidRPr="00A204DF">
              <w:rPr>
                <w:rFonts w:ascii="Times New Roman" w:eastAsia="Arial" w:hAnsi="Times New Roman" w:cs="Times New Roman"/>
                <w:color w:val="000000"/>
                <w:sz w:val="18"/>
                <w:szCs w:val="20"/>
                <w:lang w:eastAsia="ru-RU"/>
              </w:rPr>
              <w:t>  </w:t>
            </w:r>
          </w:p>
        </w:tc>
        <w:tc>
          <w:tcPr>
            <w:tcW w:w="1785" w:type="dxa"/>
            <w:shd w:val="clear" w:color="auto" w:fill="auto"/>
            <w:vAlign w:val="center"/>
            <w:hideMark/>
          </w:tcPr>
          <w:p w14:paraId="2C7A4304" w14:textId="77777777" w:rsidR="00A204DF" w:rsidRPr="00A204DF" w:rsidRDefault="00A204DF"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Введение в МСФО</w:t>
            </w:r>
          </w:p>
        </w:tc>
        <w:tc>
          <w:tcPr>
            <w:tcW w:w="4761" w:type="dxa"/>
            <w:shd w:val="clear" w:color="auto" w:fill="auto"/>
            <w:vAlign w:val="center"/>
            <w:hideMark/>
          </w:tcPr>
          <w:p w14:paraId="6969C711" w14:textId="77777777" w:rsidR="00A204DF" w:rsidRPr="00A204DF" w:rsidRDefault="00A204DF"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Понятие МСФО, применение и их роль. Совет по международным стандартам финансовой отчетности.</w:t>
            </w:r>
          </w:p>
        </w:tc>
        <w:tc>
          <w:tcPr>
            <w:tcW w:w="671" w:type="dxa"/>
            <w:shd w:val="clear" w:color="auto" w:fill="auto"/>
            <w:vAlign w:val="center"/>
            <w:hideMark/>
          </w:tcPr>
          <w:p w14:paraId="1A06D67B"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135EF777"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3D484E59"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6A12888C" w14:textId="77777777" w:rsidTr="00A81DD5">
        <w:trPr>
          <w:trHeight w:val="142"/>
        </w:trPr>
        <w:tc>
          <w:tcPr>
            <w:tcW w:w="512" w:type="dxa"/>
            <w:shd w:val="clear" w:color="auto" w:fill="auto"/>
            <w:vAlign w:val="center"/>
            <w:hideMark/>
          </w:tcPr>
          <w:p w14:paraId="05A81377" w14:textId="015888BF" w:rsidR="00A204DF" w:rsidRPr="00A204DF" w:rsidRDefault="00A204DF"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2.</w:t>
            </w:r>
          </w:p>
        </w:tc>
        <w:tc>
          <w:tcPr>
            <w:tcW w:w="1785" w:type="dxa"/>
            <w:shd w:val="clear" w:color="auto" w:fill="auto"/>
            <w:vAlign w:val="center"/>
            <w:hideMark/>
          </w:tcPr>
          <w:p w14:paraId="1BFF72EE" w14:textId="77777777" w:rsidR="00A204DF" w:rsidRPr="00A204DF" w:rsidRDefault="00A204DF"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Концептуальные основы финансовой отчетности по МСФО </w:t>
            </w:r>
          </w:p>
        </w:tc>
        <w:tc>
          <w:tcPr>
            <w:tcW w:w="4761" w:type="dxa"/>
            <w:shd w:val="clear" w:color="auto" w:fill="auto"/>
            <w:vAlign w:val="center"/>
            <w:hideMark/>
          </w:tcPr>
          <w:p w14:paraId="31E8DEDE" w14:textId="77777777" w:rsidR="00A204DF" w:rsidRPr="00A204DF" w:rsidRDefault="00A204DF"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Цели финансовой отчетности. Основополагающие принципы финансовой отчетности. Качественные характеристики финансовой отчетности. Элементы финансовой отчетности. Концепции капитала.</w:t>
            </w:r>
          </w:p>
        </w:tc>
        <w:tc>
          <w:tcPr>
            <w:tcW w:w="671" w:type="dxa"/>
            <w:shd w:val="clear" w:color="auto" w:fill="auto"/>
            <w:vAlign w:val="center"/>
            <w:hideMark/>
          </w:tcPr>
          <w:p w14:paraId="4DBAAC49"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c>
          <w:tcPr>
            <w:tcW w:w="671" w:type="dxa"/>
            <w:shd w:val="clear" w:color="auto" w:fill="auto"/>
            <w:vAlign w:val="center"/>
            <w:hideMark/>
          </w:tcPr>
          <w:p w14:paraId="0D704ADC"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27F48156"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3</w:t>
            </w:r>
          </w:p>
        </w:tc>
      </w:tr>
      <w:tr w:rsidR="00A81DD5" w:rsidRPr="00C310D4" w14:paraId="1CCD9C46" w14:textId="77777777" w:rsidTr="00A81DD5">
        <w:trPr>
          <w:trHeight w:val="352"/>
        </w:trPr>
        <w:tc>
          <w:tcPr>
            <w:tcW w:w="512" w:type="dxa"/>
            <w:shd w:val="clear" w:color="auto" w:fill="auto"/>
            <w:vAlign w:val="center"/>
            <w:hideMark/>
          </w:tcPr>
          <w:p w14:paraId="640D4790" w14:textId="29E1BDDF"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3.</w:t>
            </w:r>
          </w:p>
        </w:tc>
        <w:tc>
          <w:tcPr>
            <w:tcW w:w="1785" w:type="dxa"/>
            <w:shd w:val="clear" w:color="auto" w:fill="auto"/>
            <w:vAlign w:val="center"/>
            <w:hideMark/>
          </w:tcPr>
          <w:p w14:paraId="6CD1C16F"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Представление финансовой</w:t>
            </w:r>
          </w:p>
          <w:p w14:paraId="6C7F3DF2" w14:textId="0BF71304" w:rsidR="00C310D4" w:rsidRPr="00A204DF" w:rsidRDefault="00C310D4" w:rsidP="00C310D4">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отчетности</w:t>
            </w:r>
            <w:r w:rsidRPr="00A204DF">
              <w:rPr>
                <w:rFonts w:ascii="Arial" w:eastAsia="Times New Roman" w:hAnsi="Arial" w:cs="Arial"/>
                <w:color w:val="000000"/>
                <w:sz w:val="18"/>
                <w:szCs w:val="20"/>
                <w:lang w:eastAsia="ru-RU"/>
              </w:rPr>
              <w:t xml:space="preserve"> (IAS 1, IAS 7)</w:t>
            </w:r>
          </w:p>
        </w:tc>
        <w:tc>
          <w:tcPr>
            <w:tcW w:w="4761" w:type="dxa"/>
            <w:shd w:val="clear" w:color="auto" w:fill="auto"/>
            <w:vAlign w:val="center"/>
            <w:hideMark/>
          </w:tcPr>
          <w:p w14:paraId="68785690" w14:textId="77777777"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Назначение финансовой отчетности. Полный комплект финансовой отчетности. Отчет о финансовом положении. Отчет о прибылях и убытках и прочем совокупном доходе. Отчет об изменениях в капитале. Отчет о движении денежных средств. Примечания к финансовой отчетности. </w:t>
            </w:r>
          </w:p>
        </w:tc>
        <w:tc>
          <w:tcPr>
            <w:tcW w:w="671" w:type="dxa"/>
            <w:shd w:val="clear" w:color="auto" w:fill="auto"/>
            <w:vAlign w:val="center"/>
            <w:hideMark/>
          </w:tcPr>
          <w:p w14:paraId="6B9DB0A5"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4</w:t>
            </w:r>
          </w:p>
        </w:tc>
        <w:tc>
          <w:tcPr>
            <w:tcW w:w="671" w:type="dxa"/>
            <w:shd w:val="clear" w:color="auto" w:fill="auto"/>
            <w:vAlign w:val="center"/>
            <w:hideMark/>
          </w:tcPr>
          <w:p w14:paraId="1B8E9E15"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3</w:t>
            </w:r>
          </w:p>
        </w:tc>
        <w:tc>
          <w:tcPr>
            <w:tcW w:w="672" w:type="dxa"/>
            <w:shd w:val="clear" w:color="auto" w:fill="auto"/>
            <w:vAlign w:val="center"/>
            <w:hideMark/>
          </w:tcPr>
          <w:p w14:paraId="49535416"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7</w:t>
            </w:r>
          </w:p>
        </w:tc>
      </w:tr>
      <w:tr w:rsidR="00A81DD5" w:rsidRPr="00C310D4" w14:paraId="1559B4EC" w14:textId="77777777" w:rsidTr="00A81DD5">
        <w:trPr>
          <w:trHeight w:val="631"/>
        </w:trPr>
        <w:tc>
          <w:tcPr>
            <w:tcW w:w="512" w:type="dxa"/>
            <w:shd w:val="clear" w:color="auto" w:fill="auto"/>
            <w:vAlign w:val="center"/>
            <w:hideMark/>
          </w:tcPr>
          <w:p w14:paraId="3FCD9036" w14:textId="222BD602"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4.</w:t>
            </w:r>
          </w:p>
        </w:tc>
        <w:tc>
          <w:tcPr>
            <w:tcW w:w="1785" w:type="dxa"/>
            <w:shd w:val="clear" w:color="auto" w:fill="auto"/>
            <w:vAlign w:val="center"/>
            <w:hideMark/>
          </w:tcPr>
          <w:p w14:paraId="279E08CB"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Учетная политика, изменения в</w:t>
            </w:r>
          </w:p>
          <w:p w14:paraId="4C2235C4" w14:textId="20A12B64" w:rsidR="00C310D4" w:rsidRPr="00A204DF" w:rsidRDefault="00C310D4" w:rsidP="00C310D4">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учетных оценках и ошибки</w:t>
            </w:r>
            <w:r w:rsidRPr="00A204DF">
              <w:rPr>
                <w:rFonts w:ascii="Arial" w:eastAsia="Times New Roman" w:hAnsi="Arial" w:cs="Arial"/>
                <w:color w:val="000000"/>
                <w:sz w:val="18"/>
                <w:szCs w:val="20"/>
                <w:lang w:eastAsia="ru-RU"/>
              </w:rPr>
              <w:t xml:space="preserve"> (IAS 8)</w:t>
            </w:r>
          </w:p>
        </w:tc>
        <w:tc>
          <w:tcPr>
            <w:tcW w:w="4761" w:type="dxa"/>
            <w:shd w:val="clear" w:color="auto" w:fill="auto"/>
            <w:vAlign w:val="center"/>
            <w:hideMark/>
          </w:tcPr>
          <w:p w14:paraId="57758B59" w14:textId="77777777"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Выбор и применение учетной политики. Изменения в учетной политике. Изменения в учетных оценках. Исправление ошибок прошлых периодов.</w:t>
            </w:r>
          </w:p>
        </w:tc>
        <w:tc>
          <w:tcPr>
            <w:tcW w:w="671" w:type="dxa"/>
            <w:shd w:val="clear" w:color="auto" w:fill="auto"/>
            <w:vAlign w:val="center"/>
            <w:hideMark/>
          </w:tcPr>
          <w:p w14:paraId="536FCBCB"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02EA0B42"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67BE94A7"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1E165834" w14:textId="77777777" w:rsidTr="00A81DD5">
        <w:trPr>
          <w:trHeight w:val="340"/>
        </w:trPr>
        <w:tc>
          <w:tcPr>
            <w:tcW w:w="9072" w:type="dxa"/>
            <w:gridSpan w:val="6"/>
            <w:shd w:val="clear" w:color="000000" w:fill="D9D9D9"/>
            <w:vAlign w:val="center"/>
            <w:hideMark/>
          </w:tcPr>
          <w:p w14:paraId="48AFDF4D" w14:textId="461240CC" w:rsidR="00A204DF" w:rsidRPr="00A204DF" w:rsidRDefault="00A204DF" w:rsidP="00A204DF">
            <w:pPr>
              <w:jc w:val="center"/>
              <w:rPr>
                <w:rFonts w:ascii="Arial" w:eastAsia="Times New Roman" w:hAnsi="Arial" w:cs="Arial"/>
                <w:b/>
                <w:bCs/>
                <w:color w:val="000000"/>
                <w:sz w:val="18"/>
                <w:szCs w:val="20"/>
                <w:lang w:eastAsia="ru-RU"/>
              </w:rPr>
            </w:pPr>
          </w:p>
        </w:tc>
      </w:tr>
      <w:tr w:rsidR="00A81DD5" w:rsidRPr="00C310D4" w14:paraId="46901477" w14:textId="77777777" w:rsidTr="00A81DD5">
        <w:trPr>
          <w:trHeight w:val="980"/>
        </w:trPr>
        <w:tc>
          <w:tcPr>
            <w:tcW w:w="512" w:type="dxa"/>
            <w:shd w:val="clear" w:color="auto" w:fill="auto"/>
            <w:vAlign w:val="center"/>
            <w:hideMark/>
          </w:tcPr>
          <w:p w14:paraId="5A428474" w14:textId="71247874"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5.</w:t>
            </w:r>
            <w:r w:rsidRPr="00A204DF">
              <w:rPr>
                <w:rFonts w:ascii="Times New Roman" w:eastAsia="Arial" w:hAnsi="Times New Roman" w:cs="Times New Roman"/>
                <w:color w:val="000000"/>
                <w:sz w:val="18"/>
                <w:szCs w:val="20"/>
                <w:lang w:eastAsia="ru-RU"/>
              </w:rPr>
              <w:t> </w:t>
            </w:r>
          </w:p>
        </w:tc>
        <w:tc>
          <w:tcPr>
            <w:tcW w:w="1785" w:type="dxa"/>
            <w:shd w:val="clear" w:color="auto" w:fill="auto"/>
            <w:vAlign w:val="center"/>
            <w:hideMark/>
          </w:tcPr>
          <w:p w14:paraId="10323124"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 запасов </w:t>
            </w:r>
          </w:p>
          <w:p w14:paraId="44E02D82" w14:textId="7093F5E3" w:rsidR="00C310D4" w:rsidRPr="00A204DF"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color w:val="000000"/>
                <w:sz w:val="18"/>
                <w:szCs w:val="20"/>
                <w:lang w:eastAsia="ru-RU"/>
              </w:rPr>
              <w:t>(IAS 2)</w:t>
            </w:r>
          </w:p>
        </w:tc>
        <w:tc>
          <w:tcPr>
            <w:tcW w:w="4761" w:type="dxa"/>
            <w:shd w:val="clear" w:color="auto" w:fill="auto"/>
            <w:vAlign w:val="center"/>
            <w:hideMark/>
          </w:tcPr>
          <w:p w14:paraId="673EA61F" w14:textId="77777777"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Себестоимость запасов, затраты на приобретение, затраты на переработку. Влияние методов оценки запасов на показатели финансовой отчетности. Чистая цена продажи. Ошибки при оценке запасов.</w:t>
            </w:r>
          </w:p>
        </w:tc>
        <w:tc>
          <w:tcPr>
            <w:tcW w:w="671" w:type="dxa"/>
            <w:shd w:val="clear" w:color="auto" w:fill="auto"/>
            <w:vAlign w:val="center"/>
            <w:hideMark/>
          </w:tcPr>
          <w:p w14:paraId="6977E18E"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3714ECD0"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38CDB471"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034FDDA8" w14:textId="77777777" w:rsidTr="00A81DD5">
        <w:trPr>
          <w:trHeight w:val="1807"/>
        </w:trPr>
        <w:tc>
          <w:tcPr>
            <w:tcW w:w="512" w:type="dxa"/>
            <w:shd w:val="clear" w:color="auto" w:fill="auto"/>
            <w:vAlign w:val="center"/>
            <w:hideMark/>
          </w:tcPr>
          <w:p w14:paraId="258EBDE0" w14:textId="2AFFC237"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6.</w:t>
            </w:r>
          </w:p>
        </w:tc>
        <w:tc>
          <w:tcPr>
            <w:tcW w:w="1785" w:type="dxa"/>
            <w:shd w:val="clear" w:color="auto" w:fill="auto"/>
            <w:vAlign w:val="center"/>
            <w:hideMark/>
          </w:tcPr>
          <w:p w14:paraId="048D5471"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 основных средств и инвестиционной недвижимости</w:t>
            </w:r>
          </w:p>
          <w:p w14:paraId="3CED3909" w14:textId="77777777" w:rsidR="00C310D4" w:rsidRPr="00C310D4" w:rsidRDefault="00C310D4" w:rsidP="00A204DF">
            <w:pPr>
              <w:jc w:val="both"/>
              <w:rPr>
                <w:rFonts w:ascii="Arial" w:eastAsia="Times New Roman" w:hAnsi="Arial" w:cs="Arial"/>
                <w:color w:val="000000"/>
                <w:sz w:val="18"/>
                <w:szCs w:val="20"/>
                <w:lang w:val="en-US" w:eastAsia="ru-RU"/>
              </w:rPr>
            </w:pPr>
            <w:r w:rsidRPr="00A204DF">
              <w:rPr>
                <w:rFonts w:ascii="Arial" w:eastAsia="Times New Roman" w:hAnsi="Arial" w:cs="Arial"/>
                <w:color w:val="000000"/>
                <w:sz w:val="18"/>
                <w:szCs w:val="20"/>
                <w:lang w:val="en-US" w:eastAsia="ru-RU"/>
              </w:rPr>
              <w:t xml:space="preserve">(IAS 16, IAS 23, IAS 40, IAS 36 </w:t>
            </w:r>
          </w:p>
          <w:p w14:paraId="73B1DAC5" w14:textId="77777777" w:rsidR="00C310D4" w:rsidRPr="00C310D4" w:rsidRDefault="00C310D4" w:rsidP="00A204DF">
            <w:pPr>
              <w:jc w:val="both"/>
              <w:rPr>
                <w:rFonts w:ascii="Arial" w:eastAsia="Times New Roman" w:hAnsi="Arial" w:cs="Arial"/>
                <w:color w:val="000000"/>
                <w:sz w:val="18"/>
                <w:szCs w:val="20"/>
                <w:lang w:val="en-US" w:eastAsia="ru-RU"/>
              </w:rPr>
            </w:pPr>
            <w:r w:rsidRPr="00A204DF">
              <w:rPr>
                <w:rFonts w:ascii="Arial" w:eastAsia="Times New Roman" w:hAnsi="Arial" w:cs="Arial"/>
                <w:color w:val="000000"/>
                <w:sz w:val="18"/>
                <w:szCs w:val="20"/>
                <w:lang w:val="en-US" w:eastAsia="ru-RU"/>
              </w:rPr>
              <w:t xml:space="preserve">IFRS 5) </w:t>
            </w:r>
          </w:p>
          <w:p w14:paraId="6EEB6156" w14:textId="77777777" w:rsidR="00C310D4" w:rsidRPr="00C310D4" w:rsidRDefault="00C310D4" w:rsidP="00A204DF">
            <w:pPr>
              <w:rPr>
                <w:rFonts w:ascii="Arial" w:eastAsia="Times New Roman" w:hAnsi="Arial" w:cs="Arial"/>
                <w:b/>
                <w:bCs/>
                <w:color w:val="000000"/>
                <w:sz w:val="18"/>
                <w:szCs w:val="20"/>
                <w:lang w:val="en-US" w:eastAsia="ru-RU"/>
              </w:rPr>
            </w:pPr>
            <w:r w:rsidRPr="00A204DF">
              <w:rPr>
                <w:rFonts w:ascii="Calibri" w:eastAsia="Times New Roman" w:hAnsi="Calibri" w:cs="Times New Roman"/>
                <w:color w:val="000000"/>
                <w:sz w:val="18"/>
                <w:szCs w:val="20"/>
                <w:lang w:val="en-US" w:eastAsia="ru-RU"/>
              </w:rPr>
              <w:t> </w:t>
            </w:r>
          </w:p>
          <w:p w14:paraId="7016FCC3" w14:textId="5702137B" w:rsidR="00C310D4" w:rsidRPr="00A204DF" w:rsidRDefault="00C310D4" w:rsidP="00A204DF">
            <w:pPr>
              <w:rPr>
                <w:rFonts w:ascii="Arial" w:eastAsia="Times New Roman" w:hAnsi="Arial" w:cs="Arial"/>
                <w:b/>
                <w:bCs/>
                <w:color w:val="000000"/>
                <w:sz w:val="18"/>
                <w:szCs w:val="20"/>
                <w:lang w:val="en-US" w:eastAsia="ru-RU"/>
              </w:rPr>
            </w:pPr>
            <w:r w:rsidRPr="00EB438B">
              <w:rPr>
                <w:rFonts w:ascii="Calibri" w:eastAsia="Times New Roman" w:hAnsi="Calibri" w:cs="Times New Roman"/>
                <w:color w:val="000000"/>
                <w:sz w:val="18"/>
                <w:szCs w:val="20"/>
                <w:lang w:val="en-US" w:eastAsia="ru-RU"/>
              </w:rPr>
              <w:t> </w:t>
            </w:r>
          </w:p>
        </w:tc>
        <w:tc>
          <w:tcPr>
            <w:tcW w:w="4761" w:type="dxa"/>
            <w:shd w:val="clear" w:color="auto" w:fill="auto"/>
            <w:vAlign w:val="center"/>
            <w:hideMark/>
          </w:tcPr>
          <w:p w14:paraId="79906611" w14:textId="77777777"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Определение первоначальной стоимости, оценка при признании. Амортизация. Последующие затраты. Последующая оценка, модели учета основных средств. Прекращение признания. Раскрытие информации. </w:t>
            </w:r>
          </w:p>
          <w:p w14:paraId="33A886D3" w14:textId="77777777"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Затраты по займам, разрешенные для капитализации. Начало капитализации, приостановление и прекращение капитализации.</w:t>
            </w:r>
          </w:p>
          <w:p w14:paraId="63490ED0" w14:textId="77777777"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Признание и оценка инвестиционной недвижимости. Требования к раскрытию информации.</w:t>
            </w:r>
          </w:p>
          <w:p w14:paraId="26BB6B05" w14:textId="77777777"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Признаки обесценения активов. Оценка возмещаемой стоимости. Признание убытка от обесценения. Возврат убытка от обесценения. Единица, генерирующая денежный поток. Требования к раскрытию информации.</w:t>
            </w:r>
          </w:p>
          <w:p w14:paraId="3CEBA7A2" w14:textId="7F05598F"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Признание и представление необоротных активов для продажи.  Оценка необоротных активов, предназначенных для продажи. Представление прекращенной деятельности.</w:t>
            </w:r>
          </w:p>
        </w:tc>
        <w:tc>
          <w:tcPr>
            <w:tcW w:w="671" w:type="dxa"/>
            <w:shd w:val="clear" w:color="auto" w:fill="auto"/>
            <w:vAlign w:val="center"/>
            <w:hideMark/>
          </w:tcPr>
          <w:p w14:paraId="378ACB8B"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7</w:t>
            </w:r>
          </w:p>
        </w:tc>
        <w:tc>
          <w:tcPr>
            <w:tcW w:w="671" w:type="dxa"/>
            <w:shd w:val="clear" w:color="auto" w:fill="auto"/>
            <w:vAlign w:val="center"/>
            <w:hideMark/>
          </w:tcPr>
          <w:p w14:paraId="62AF573B"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7BB25410"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8</w:t>
            </w:r>
          </w:p>
        </w:tc>
      </w:tr>
      <w:tr w:rsidR="00A81DD5" w:rsidRPr="00C310D4" w14:paraId="39CCC7F1" w14:textId="77777777" w:rsidTr="00A81DD5">
        <w:trPr>
          <w:trHeight w:val="840"/>
        </w:trPr>
        <w:tc>
          <w:tcPr>
            <w:tcW w:w="512" w:type="dxa"/>
            <w:shd w:val="clear" w:color="auto" w:fill="auto"/>
            <w:vAlign w:val="center"/>
            <w:hideMark/>
          </w:tcPr>
          <w:p w14:paraId="2B5995C7" w14:textId="47F5C3C5" w:rsidR="00A204DF" w:rsidRPr="00A204DF" w:rsidRDefault="00A204DF"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7.</w:t>
            </w:r>
          </w:p>
        </w:tc>
        <w:tc>
          <w:tcPr>
            <w:tcW w:w="1785" w:type="dxa"/>
            <w:shd w:val="clear" w:color="auto" w:fill="auto"/>
            <w:vAlign w:val="center"/>
            <w:hideMark/>
          </w:tcPr>
          <w:p w14:paraId="26D3B0BC" w14:textId="77777777" w:rsidR="00A204DF" w:rsidRPr="00A204DF" w:rsidRDefault="00A204DF"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 нематериальных активов (</w:t>
            </w:r>
            <w:r w:rsidRPr="00A204DF">
              <w:rPr>
                <w:rFonts w:ascii="Arial" w:eastAsia="Times New Roman" w:hAnsi="Arial" w:cs="Arial"/>
                <w:color w:val="000000"/>
                <w:sz w:val="18"/>
                <w:szCs w:val="20"/>
                <w:lang w:eastAsia="ru-RU"/>
              </w:rPr>
              <w:t>IAS 38)</w:t>
            </w:r>
          </w:p>
        </w:tc>
        <w:tc>
          <w:tcPr>
            <w:tcW w:w="4761" w:type="dxa"/>
            <w:shd w:val="clear" w:color="auto" w:fill="auto"/>
            <w:vAlign w:val="center"/>
            <w:hideMark/>
          </w:tcPr>
          <w:p w14:paraId="222FF40A" w14:textId="77777777" w:rsidR="00A204DF" w:rsidRPr="00A204DF" w:rsidRDefault="00A204DF"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Признание и оценка. Внутренне созданные нематериальные активы. Затраты на разработку и исследования. Оценка после признания. Прекращение признания нематериальных активов. Раскрытие информации о нематериальных активах.</w:t>
            </w:r>
          </w:p>
        </w:tc>
        <w:tc>
          <w:tcPr>
            <w:tcW w:w="671" w:type="dxa"/>
            <w:shd w:val="clear" w:color="auto" w:fill="auto"/>
            <w:vAlign w:val="center"/>
            <w:hideMark/>
          </w:tcPr>
          <w:p w14:paraId="24B1F203"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599E106A"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1FE89C9C"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48687D57" w14:textId="77777777" w:rsidTr="00A81DD5">
        <w:trPr>
          <w:trHeight w:val="340"/>
        </w:trPr>
        <w:tc>
          <w:tcPr>
            <w:tcW w:w="9072" w:type="dxa"/>
            <w:gridSpan w:val="6"/>
            <w:shd w:val="clear" w:color="000000" w:fill="D9D9D9"/>
            <w:vAlign w:val="center"/>
            <w:hideMark/>
          </w:tcPr>
          <w:p w14:paraId="001F3608" w14:textId="454CBA09" w:rsidR="00A204DF" w:rsidRPr="00A204DF" w:rsidRDefault="00A204DF" w:rsidP="00A204DF">
            <w:pPr>
              <w:jc w:val="center"/>
              <w:rPr>
                <w:rFonts w:ascii="Arial" w:eastAsia="Times New Roman" w:hAnsi="Arial" w:cs="Arial"/>
                <w:b/>
                <w:bCs/>
                <w:color w:val="000000"/>
                <w:sz w:val="18"/>
                <w:szCs w:val="20"/>
                <w:lang w:eastAsia="ru-RU"/>
              </w:rPr>
            </w:pPr>
          </w:p>
        </w:tc>
      </w:tr>
      <w:tr w:rsidR="00A81DD5" w:rsidRPr="00C310D4" w14:paraId="31F1ADF3" w14:textId="77777777" w:rsidTr="00A81DD5">
        <w:trPr>
          <w:trHeight w:val="1486"/>
        </w:trPr>
        <w:tc>
          <w:tcPr>
            <w:tcW w:w="512" w:type="dxa"/>
            <w:shd w:val="clear" w:color="auto" w:fill="auto"/>
            <w:vAlign w:val="center"/>
            <w:hideMark/>
          </w:tcPr>
          <w:p w14:paraId="6B9D416E" w14:textId="1F162101"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8.</w:t>
            </w:r>
          </w:p>
        </w:tc>
        <w:tc>
          <w:tcPr>
            <w:tcW w:w="1785" w:type="dxa"/>
            <w:shd w:val="clear" w:color="auto" w:fill="auto"/>
            <w:vAlign w:val="center"/>
            <w:hideMark/>
          </w:tcPr>
          <w:p w14:paraId="7167FD42"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 xml:space="preserve">Учет доходов </w:t>
            </w:r>
          </w:p>
          <w:p w14:paraId="0AE4047D" w14:textId="17F5F734" w:rsidR="00C310D4" w:rsidRPr="00A204DF" w:rsidRDefault="00EB438B" w:rsidP="00C310D4">
            <w:pPr>
              <w:jc w:val="both"/>
              <w:rPr>
                <w:rFonts w:ascii="Arial" w:eastAsia="Times New Roman" w:hAnsi="Arial" w:cs="Arial"/>
                <w:b/>
                <w:bCs/>
                <w:color w:val="000000"/>
                <w:sz w:val="18"/>
                <w:szCs w:val="20"/>
                <w:lang w:eastAsia="ru-RU"/>
              </w:rPr>
            </w:pPr>
            <w:r>
              <w:rPr>
                <w:rFonts w:ascii="Arial" w:eastAsia="Times New Roman" w:hAnsi="Arial" w:cs="Arial"/>
                <w:color w:val="000000"/>
                <w:sz w:val="18"/>
                <w:szCs w:val="20"/>
                <w:lang w:eastAsia="ru-RU"/>
              </w:rPr>
              <w:t>(</w:t>
            </w:r>
            <w:r w:rsidR="00C310D4" w:rsidRPr="00A204DF">
              <w:rPr>
                <w:rFonts w:ascii="Arial" w:eastAsia="Times New Roman" w:hAnsi="Arial" w:cs="Arial"/>
                <w:color w:val="000000"/>
                <w:sz w:val="18"/>
                <w:szCs w:val="20"/>
                <w:lang w:eastAsia="ru-RU"/>
              </w:rPr>
              <w:t xml:space="preserve">IFRS 15) </w:t>
            </w:r>
          </w:p>
        </w:tc>
        <w:tc>
          <w:tcPr>
            <w:tcW w:w="4761" w:type="dxa"/>
            <w:shd w:val="clear" w:color="auto" w:fill="auto"/>
            <w:vAlign w:val="center"/>
            <w:hideMark/>
          </w:tcPr>
          <w:p w14:paraId="688CD5B2" w14:textId="117C7202"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Пятиступенчатая модель признания выручки. Идентификация и модификация договором с клиентами. Обязанности по договору к исполнению. Цена сделки и ее распределение. Признание выручки. Методы определения степени завершенности обязанностей к исполнению. Раскрытие информации.</w:t>
            </w:r>
          </w:p>
        </w:tc>
        <w:tc>
          <w:tcPr>
            <w:tcW w:w="671" w:type="dxa"/>
            <w:shd w:val="clear" w:color="auto" w:fill="auto"/>
            <w:vAlign w:val="center"/>
            <w:hideMark/>
          </w:tcPr>
          <w:p w14:paraId="7DEF06E5"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3</w:t>
            </w:r>
          </w:p>
        </w:tc>
        <w:tc>
          <w:tcPr>
            <w:tcW w:w="671" w:type="dxa"/>
            <w:shd w:val="clear" w:color="auto" w:fill="auto"/>
            <w:vAlign w:val="center"/>
            <w:hideMark/>
          </w:tcPr>
          <w:p w14:paraId="55E87B59"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52D0DE6C"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4</w:t>
            </w:r>
          </w:p>
        </w:tc>
      </w:tr>
      <w:tr w:rsidR="00A81DD5" w:rsidRPr="00C310D4" w14:paraId="47F1B445" w14:textId="77777777" w:rsidTr="00A81DD5">
        <w:trPr>
          <w:trHeight w:val="967"/>
        </w:trPr>
        <w:tc>
          <w:tcPr>
            <w:tcW w:w="512" w:type="dxa"/>
            <w:shd w:val="clear" w:color="auto" w:fill="auto"/>
            <w:vAlign w:val="center"/>
            <w:hideMark/>
          </w:tcPr>
          <w:p w14:paraId="00EC2D46" w14:textId="2E7190ED"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9.</w:t>
            </w:r>
          </w:p>
        </w:tc>
        <w:tc>
          <w:tcPr>
            <w:tcW w:w="1785" w:type="dxa"/>
            <w:shd w:val="clear" w:color="auto" w:fill="auto"/>
            <w:vAlign w:val="center"/>
            <w:hideMark/>
          </w:tcPr>
          <w:p w14:paraId="22F3A274"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 аренды </w:t>
            </w:r>
          </w:p>
          <w:p w14:paraId="7F918CE6" w14:textId="6860DDFA" w:rsidR="00C310D4" w:rsidRPr="00A204DF" w:rsidRDefault="00C310D4" w:rsidP="00C310D4">
            <w:pPr>
              <w:jc w:val="both"/>
              <w:rPr>
                <w:rFonts w:ascii="Arial" w:eastAsia="Times New Roman" w:hAnsi="Arial" w:cs="Arial"/>
                <w:b/>
                <w:bCs/>
                <w:color w:val="000000"/>
                <w:sz w:val="18"/>
                <w:szCs w:val="20"/>
                <w:lang w:eastAsia="ru-RU"/>
              </w:rPr>
            </w:pPr>
            <w:r w:rsidRPr="00C310D4">
              <w:rPr>
                <w:rFonts w:ascii="Arial" w:eastAsia="Times New Roman" w:hAnsi="Arial" w:cs="Arial"/>
                <w:color w:val="000000"/>
                <w:sz w:val="18"/>
                <w:szCs w:val="20"/>
                <w:lang w:eastAsia="ru-RU"/>
              </w:rPr>
              <w:t>(</w:t>
            </w:r>
            <w:r w:rsidRPr="00A204DF">
              <w:rPr>
                <w:rFonts w:ascii="Arial" w:eastAsia="Times New Roman" w:hAnsi="Arial" w:cs="Arial"/>
                <w:color w:val="000000"/>
                <w:sz w:val="18"/>
                <w:szCs w:val="20"/>
                <w:lang w:eastAsia="ru-RU"/>
              </w:rPr>
              <w:t>IAS 17, IFRS 16)</w:t>
            </w:r>
          </w:p>
        </w:tc>
        <w:tc>
          <w:tcPr>
            <w:tcW w:w="4761" w:type="dxa"/>
            <w:shd w:val="clear" w:color="auto" w:fill="auto"/>
            <w:vAlign w:val="center"/>
            <w:hideMark/>
          </w:tcPr>
          <w:p w14:paraId="0DD755C9" w14:textId="77777777"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Классификация аренды. Учет операционной аренды. Учет финансовой аренды у арендатора. Учет финансовой аренды у арендодателя. Операции по продаже с обратной арендой. Требования к раскрытию информации.</w:t>
            </w:r>
          </w:p>
        </w:tc>
        <w:tc>
          <w:tcPr>
            <w:tcW w:w="671" w:type="dxa"/>
            <w:shd w:val="clear" w:color="auto" w:fill="auto"/>
            <w:vAlign w:val="center"/>
            <w:hideMark/>
          </w:tcPr>
          <w:p w14:paraId="1902B333"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c>
          <w:tcPr>
            <w:tcW w:w="671" w:type="dxa"/>
            <w:shd w:val="clear" w:color="auto" w:fill="auto"/>
            <w:vAlign w:val="center"/>
            <w:hideMark/>
          </w:tcPr>
          <w:p w14:paraId="17A16154"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251F9707"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3</w:t>
            </w:r>
          </w:p>
        </w:tc>
      </w:tr>
      <w:tr w:rsidR="00A81DD5" w:rsidRPr="00C310D4" w14:paraId="2654A647" w14:textId="77777777" w:rsidTr="00A81DD5">
        <w:trPr>
          <w:trHeight w:val="519"/>
        </w:trPr>
        <w:tc>
          <w:tcPr>
            <w:tcW w:w="512" w:type="dxa"/>
            <w:shd w:val="clear" w:color="auto" w:fill="auto"/>
            <w:vAlign w:val="center"/>
            <w:hideMark/>
          </w:tcPr>
          <w:p w14:paraId="19D0FC71" w14:textId="1F918B35"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10.</w:t>
            </w:r>
          </w:p>
        </w:tc>
        <w:tc>
          <w:tcPr>
            <w:tcW w:w="1785" w:type="dxa"/>
            <w:shd w:val="clear" w:color="auto" w:fill="auto"/>
            <w:vAlign w:val="center"/>
            <w:hideMark/>
          </w:tcPr>
          <w:p w14:paraId="01712A56" w14:textId="77777777" w:rsidR="00C310D4" w:rsidRPr="00A204DF"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Обеспечения, условные обязательства и условные активы</w:t>
            </w:r>
            <w:r w:rsidRPr="00A204DF">
              <w:rPr>
                <w:rFonts w:ascii="Arial" w:eastAsia="Times New Roman" w:hAnsi="Arial" w:cs="Arial"/>
                <w:color w:val="000000"/>
                <w:sz w:val="18"/>
                <w:szCs w:val="20"/>
                <w:lang w:eastAsia="ru-RU"/>
              </w:rPr>
              <w:t xml:space="preserve"> (IAS 37)</w:t>
            </w:r>
          </w:p>
        </w:tc>
        <w:tc>
          <w:tcPr>
            <w:tcW w:w="4761" w:type="dxa"/>
            <w:shd w:val="clear" w:color="auto" w:fill="auto"/>
            <w:vAlign w:val="center"/>
            <w:hideMark/>
          </w:tcPr>
          <w:p w14:paraId="15011E14" w14:textId="77777777"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Резервы и другие обязательства. Связь между резервами и условными обязательствами. Условные активы. Обременительные договоры. Реструктуризация. Раскрытие информации.</w:t>
            </w:r>
          </w:p>
          <w:p w14:paraId="6D71C9F4" w14:textId="66EB9FA2"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Классификация и оценка необоротных активов как предназначенных для продажи. Представление прекращенной деятельности. Требования к раскрытию информации.</w:t>
            </w:r>
          </w:p>
        </w:tc>
        <w:tc>
          <w:tcPr>
            <w:tcW w:w="671" w:type="dxa"/>
            <w:shd w:val="clear" w:color="auto" w:fill="auto"/>
            <w:vAlign w:val="center"/>
            <w:hideMark/>
          </w:tcPr>
          <w:p w14:paraId="415D95FF"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c>
          <w:tcPr>
            <w:tcW w:w="671" w:type="dxa"/>
            <w:shd w:val="clear" w:color="auto" w:fill="auto"/>
            <w:vAlign w:val="center"/>
            <w:hideMark/>
          </w:tcPr>
          <w:p w14:paraId="3E501C7F"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22620B35"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3</w:t>
            </w:r>
          </w:p>
        </w:tc>
      </w:tr>
      <w:tr w:rsidR="00A81DD5" w:rsidRPr="00C310D4" w14:paraId="6876C5FA" w14:textId="77777777" w:rsidTr="00A81DD5">
        <w:trPr>
          <w:trHeight w:val="57"/>
        </w:trPr>
        <w:tc>
          <w:tcPr>
            <w:tcW w:w="512" w:type="dxa"/>
            <w:shd w:val="clear" w:color="auto" w:fill="auto"/>
            <w:vAlign w:val="center"/>
            <w:hideMark/>
          </w:tcPr>
          <w:p w14:paraId="40C50A28" w14:textId="087864D2" w:rsidR="00A204DF" w:rsidRPr="00A204DF" w:rsidRDefault="00A204DF"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11.</w:t>
            </w:r>
          </w:p>
        </w:tc>
        <w:tc>
          <w:tcPr>
            <w:tcW w:w="1785" w:type="dxa"/>
            <w:shd w:val="clear" w:color="auto" w:fill="auto"/>
            <w:vAlign w:val="center"/>
            <w:hideMark/>
          </w:tcPr>
          <w:p w14:paraId="62237726" w14:textId="77777777" w:rsidR="00A204DF" w:rsidRPr="00A204DF" w:rsidRDefault="00A204DF"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Налоги на прибыль</w:t>
            </w:r>
            <w:r w:rsidRPr="00A204DF">
              <w:rPr>
                <w:rFonts w:ascii="Arial" w:eastAsia="Times New Roman" w:hAnsi="Arial" w:cs="Arial"/>
                <w:color w:val="000000"/>
                <w:sz w:val="18"/>
                <w:szCs w:val="20"/>
                <w:lang w:eastAsia="ru-RU"/>
              </w:rPr>
              <w:t xml:space="preserve"> (IAS 12) </w:t>
            </w:r>
          </w:p>
        </w:tc>
        <w:tc>
          <w:tcPr>
            <w:tcW w:w="4761" w:type="dxa"/>
            <w:shd w:val="clear" w:color="auto" w:fill="auto"/>
            <w:vAlign w:val="center"/>
            <w:hideMark/>
          </w:tcPr>
          <w:p w14:paraId="059EC5C0" w14:textId="77777777" w:rsidR="00A204DF" w:rsidRPr="00A204DF" w:rsidRDefault="00A204DF"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Различия между финансовой и налогооблагаемой прибылью. Постоянные и временные разницы. Понятие отложенного налога. Отложенное налоговое обязательство. Отложенный налоговый актив. Требования к раскрытию информации.</w:t>
            </w:r>
          </w:p>
        </w:tc>
        <w:tc>
          <w:tcPr>
            <w:tcW w:w="671" w:type="dxa"/>
            <w:shd w:val="clear" w:color="auto" w:fill="auto"/>
            <w:vAlign w:val="center"/>
            <w:hideMark/>
          </w:tcPr>
          <w:p w14:paraId="3714FB2B"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3AF45EBD"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4BE34264"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247A7C82" w14:textId="77777777" w:rsidTr="00A81DD5">
        <w:trPr>
          <w:trHeight w:val="340"/>
        </w:trPr>
        <w:tc>
          <w:tcPr>
            <w:tcW w:w="9072" w:type="dxa"/>
            <w:gridSpan w:val="6"/>
            <w:shd w:val="clear" w:color="000000" w:fill="D9D9D9"/>
            <w:vAlign w:val="center"/>
            <w:hideMark/>
          </w:tcPr>
          <w:p w14:paraId="2F95E4E2" w14:textId="2B89C2A3" w:rsidR="00A204DF" w:rsidRPr="00A204DF" w:rsidRDefault="00A204DF" w:rsidP="00A204DF">
            <w:pPr>
              <w:jc w:val="center"/>
              <w:rPr>
                <w:rFonts w:ascii="Arial" w:eastAsia="Times New Roman" w:hAnsi="Arial" w:cs="Arial"/>
                <w:b/>
                <w:bCs/>
                <w:color w:val="000000"/>
                <w:sz w:val="18"/>
                <w:szCs w:val="20"/>
                <w:lang w:eastAsia="ru-RU"/>
              </w:rPr>
            </w:pPr>
          </w:p>
        </w:tc>
      </w:tr>
      <w:tr w:rsidR="00A81DD5" w:rsidRPr="00C310D4" w14:paraId="540FE104" w14:textId="77777777" w:rsidTr="00A81DD5">
        <w:trPr>
          <w:trHeight w:val="57"/>
        </w:trPr>
        <w:tc>
          <w:tcPr>
            <w:tcW w:w="512" w:type="dxa"/>
            <w:shd w:val="clear" w:color="auto" w:fill="auto"/>
            <w:vAlign w:val="center"/>
            <w:hideMark/>
          </w:tcPr>
          <w:p w14:paraId="0A0748DE" w14:textId="3B8F2FC9"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12.</w:t>
            </w:r>
          </w:p>
        </w:tc>
        <w:tc>
          <w:tcPr>
            <w:tcW w:w="1785" w:type="dxa"/>
            <w:shd w:val="clear" w:color="auto" w:fill="auto"/>
            <w:vAlign w:val="center"/>
            <w:hideMark/>
          </w:tcPr>
          <w:p w14:paraId="589E47A1" w14:textId="77777777" w:rsidR="00C310D4" w:rsidRPr="00C310D4"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Учет финансовых инструментов </w:t>
            </w:r>
          </w:p>
          <w:p w14:paraId="4B2EC81A" w14:textId="570C0196" w:rsidR="00C310D4" w:rsidRPr="00C310D4" w:rsidRDefault="00EB438B" w:rsidP="00A204DF">
            <w:pPr>
              <w:jc w:val="both"/>
              <w:rPr>
                <w:rFonts w:ascii="Arial" w:eastAsia="Times New Roman" w:hAnsi="Arial" w:cs="Arial"/>
                <w:color w:val="000000"/>
                <w:sz w:val="18"/>
                <w:szCs w:val="20"/>
                <w:lang w:eastAsia="ru-RU"/>
              </w:rPr>
            </w:pPr>
            <w:r>
              <w:rPr>
                <w:rFonts w:ascii="Arial" w:eastAsia="Times New Roman" w:hAnsi="Arial" w:cs="Arial"/>
                <w:color w:val="000000"/>
                <w:sz w:val="18"/>
                <w:szCs w:val="20"/>
                <w:lang w:eastAsia="ru-RU"/>
              </w:rPr>
              <w:t>(IAS 32</w:t>
            </w:r>
            <w:r w:rsidR="00C310D4" w:rsidRPr="00A204DF">
              <w:rPr>
                <w:rFonts w:ascii="Arial" w:eastAsia="Times New Roman" w:hAnsi="Arial" w:cs="Arial"/>
                <w:color w:val="000000"/>
                <w:sz w:val="18"/>
                <w:szCs w:val="20"/>
                <w:lang w:eastAsia="ru-RU"/>
              </w:rPr>
              <w:t xml:space="preserve">, </w:t>
            </w:r>
          </w:p>
          <w:p w14:paraId="5483249E" w14:textId="5CBF6B67" w:rsidR="00C310D4" w:rsidRPr="00A204DF"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color w:val="000000"/>
                <w:sz w:val="18"/>
                <w:szCs w:val="20"/>
                <w:lang w:eastAsia="ru-RU"/>
              </w:rPr>
              <w:t>IFRS 9)</w:t>
            </w:r>
          </w:p>
        </w:tc>
        <w:tc>
          <w:tcPr>
            <w:tcW w:w="4761" w:type="dxa"/>
            <w:shd w:val="clear" w:color="auto" w:fill="auto"/>
            <w:vAlign w:val="center"/>
            <w:hideMark/>
          </w:tcPr>
          <w:p w14:paraId="4620B58A" w14:textId="1223C9DA"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 xml:space="preserve">Классификация финансовых инструментов. Первоначальное признание финансовых инструментов. Последующая оценка финансовых инструментов. Правила определения амортизируемой стоимости. Правила определения справедливой стоимости. </w:t>
            </w:r>
            <w:r w:rsidR="00EB438B">
              <w:rPr>
                <w:rFonts w:ascii="Arial" w:eastAsia="Times New Roman" w:hAnsi="Arial" w:cs="Arial"/>
                <w:color w:val="000000"/>
                <w:sz w:val="18"/>
                <w:szCs w:val="20"/>
                <w:lang w:eastAsia="ru-RU"/>
              </w:rPr>
              <w:t xml:space="preserve">Обесценение финансовых инструментов. </w:t>
            </w:r>
            <w:r w:rsidRPr="00A204DF">
              <w:rPr>
                <w:rFonts w:ascii="Arial" w:eastAsia="Times New Roman" w:hAnsi="Arial" w:cs="Arial"/>
                <w:color w:val="000000"/>
                <w:sz w:val="18"/>
                <w:szCs w:val="20"/>
                <w:lang w:eastAsia="ru-RU"/>
              </w:rPr>
              <w:t>Прекращение признания. Требования к раскрытию информации.</w:t>
            </w:r>
          </w:p>
        </w:tc>
        <w:tc>
          <w:tcPr>
            <w:tcW w:w="671" w:type="dxa"/>
            <w:shd w:val="clear" w:color="auto" w:fill="auto"/>
            <w:vAlign w:val="center"/>
            <w:hideMark/>
          </w:tcPr>
          <w:p w14:paraId="6FE13770"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3</w:t>
            </w:r>
          </w:p>
        </w:tc>
        <w:tc>
          <w:tcPr>
            <w:tcW w:w="671" w:type="dxa"/>
            <w:shd w:val="clear" w:color="auto" w:fill="auto"/>
            <w:vAlign w:val="center"/>
            <w:hideMark/>
          </w:tcPr>
          <w:p w14:paraId="2E18A864"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c>
          <w:tcPr>
            <w:tcW w:w="672" w:type="dxa"/>
            <w:shd w:val="clear" w:color="auto" w:fill="auto"/>
            <w:vAlign w:val="center"/>
            <w:hideMark/>
          </w:tcPr>
          <w:p w14:paraId="0300E2F7"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5</w:t>
            </w:r>
          </w:p>
        </w:tc>
      </w:tr>
      <w:tr w:rsidR="00A81DD5" w:rsidRPr="00C310D4" w14:paraId="1E9426FA" w14:textId="77777777" w:rsidTr="00A81DD5">
        <w:trPr>
          <w:trHeight w:val="911"/>
        </w:trPr>
        <w:tc>
          <w:tcPr>
            <w:tcW w:w="512" w:type="dxa"/>
            <w:shd w:val="clear" w:color="auto" w:fill="auto"/>
            <w:vAlign w:val="center"/>
            <w:hideMark/>
          </w:tcPr>
          <w:p w14:paraId="38F0C1E7" w14:textId="462516FE"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13.</w:t>
            </w:r>
          </w:p>
        </w:tc>
        <w:tc>
          <w:tcPr>
            <w:tcW w:w="1785" w:type="dxa"/>
            <w:shd w:val="clear" w:color="auto" w:fill="auto"/>
            <w:vAlign w:val="center"/>
            <w:hideMark/>
          </w:tcPr>
          <w:p w14:paraId="074B9C7A" w14:textId="77777777" w:rsidR="00C310D4" w:rsidRPr="00A204DF"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Отчетность группы компаний (</w:t>
            </w:r>
            <w:r w:rsidRPr="00A204DF">
              <w:rPr>
                <w:rFonts w:ascii="Arial" w:eastAsia="Times New Roman" w:hAnsi="Arial" w:cs="Arial"/>
                <w:color w:val="000000"/>
                <w:sz w:val="18"/>
                <w:szCs w:val="20"/>
                <w:lang w:eastAsia="ru-RU"/>
              </w:rPr>
              <w:t>IFRS 3 IAS 28, IAS 27, IFRS 10, IFRS 12)</w:t>
            </w:r>
          </w:p>
        </w:tc>
        <w:tc>
          <w:tcPr>
            <w:tcW w:w="4761" w:type="dxa"/>
            <w:shd w:val="clear" w:color="auto" w:fill="auto"/>
            <w:vAlign w:val="center"/>
            <w:hideMark/>
          </w:tcPr>
          <w:p w14:paraId="437F509F" w14:textId="02036553"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Сделки по объединению бизнеса. Определение полномочий и признаки наличия контроля.</w:t>
            </w:r>
          </w:p>
          <w:p w14:paraId="7ABEBAD3" w14:textId="0644B836"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Требования к составлению консолидированной финансовой отчетности. Базовая техника консолидации. Деловая репутация (гудвилл). Доля неконтролирующих акционеров. Консолидация на дату приобретения. Консолидация после даты приобретения. Исключение операций внутри группы. Раскрытие информации. Определение значительного влияния. Метод долевого участия. Раскрытие информации.</w:t>
            </w:r>
          </w:p>
        </w:tc>
        <w:tc>
          <w:tcPr>
            <w:tcW w:w="671" w:type="dxa"/>
            <w:shd w:val="clear" w:color="auto" w:fill="auto"/>
            <w:vAlign w:val="center"/>
            <w:hideMark/>
          </w:tcPr>
          <w:p w14:paraId="02122DF0"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5</w:t>
            </w:r>
          </w:p>
        </w:tc>
        <w:tc>
          <w:tcPr>
            <w:tcW w:w="671" w:type="dxa"/>
            <w:shd w:val="clear" w:color="auto" w:fill="auto"/>
            <w:vAlign w:val="center"/>
            <w:hideMark/>
          </w:tcPr>
          <w:p w14:paraId="0E78F847"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4</w:t>
            </w:r>
          </w:p>
        </w:tc>
        <w:tc>
          <w:tcPr>
            <w:tcW w:w="672" w:type="dxa"/>
            <w:shd w:val="clear" w:color="auto" w:fill="auto"/>
            <w:vAlign w:val="center"/>
            <w:hideMark/>
          </w:tcPr>
          <w:p w14:paraId="51D97617"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9</w:t>
            </w:r>
          </w:p>
        </w:tc>
      </w:tr>
      <w:tr w:rsidR="00A81DD5" w:rsidRPr="00C310D4" w14:paraId="7CFA857E" w14:textId="77777777" w:rsidTr="00A81DD5">
        <w:trPr>
          <w:trHeight w:val="57"/>
        </w:trPr>
        <w:tc>
          <w:tcPr>
            <w:tcW w:w="512" w:type="dxa"/>
            <w:shd w:val="clear" w:color="auto" w:fill="auto"/>
            <w:vAlign w:val="center"/>
            <w:hideMark/>
          </w:tcPr>
          <w:p w14:paraId="4E9AE490" w14:textId="779B6F1A" w:rsidR="00A204DF" w:rsidRPr="00A204DF" w:rsidRDefault="00A204DF"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14.</w:t>
            </w:r>
          </w:p>
        </w:tc>
        <w:tc>
          <w:tcPr>
            <w:tcW w:w="1785" w:type="dxa"/>
            <w:shd w:val="clear" w:color="auto" w:fill="auto"/>
            <w:vAlign w:val="center"/>
            <w:hideMark/>
          </w:tcPr>
          <w:p w14:paraId="273F46A6" w14:textId="77777777" w:rsidR="00A204DF" w:rsidRPr="00A204DF" w:rsidRDefault="00A204DF"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Операции в иностранной валюте (</w:t>
            </w:r>
            <w:r w:rsidRPr="00A204DF">
              <w:rPr>
                <w:rFonts w:ascii="Arial" w:eastAsia="Times New Roman" w:hAnsi="Arial" w:cs="Arial"/>
                <w:color w:val="000000"/>
                <w:sz w:val="18"/>
                <w:szCs w:val="20"/>
                <w:lang w:eastAsia="ru-RU"/>
              </w:rPr>
              <w:t>IAS 21)</w:t>
            </w:r>
          </w:p>
        </w:tc>
        <w:tc>
          <w:tcPr>
            <w:tcW w:w="4761" w:type="dxa"/>
            <w:shd w:val="clear" w:color="auto" w:fill="auto"/>
            <w:vAlign w:val="center"/>
            <w:hideMark/>
          </w:tcPr>
          <w:p w14:paraId="41861C15" w14:textId="77777777" w:rsidR="00A204DF" w:rsidRPr="00A204DF" w:rsidRDefault="00A204DF"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Основные определения. Первоначальное и последующее признание курсовых разниц. Пересчет данных в валюту представления. Требования к раскрытию информации.</w:t>
            </w:r>
          </w:p>
        </w:tc>
        <w:tc>
          <w:tcPr>
            <w:tcW w:w="671" w:type="dxa"/>
            <w:shd w:val="clear" w:color="auto" w:fill="auto"/>
            <w:vAlign w:val="center"/>
            <w:hideMark/>
          </w:tcPr>
          <w:p w14:paraId="50F019EF"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261FCA88"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2CA97BAE" w14:textId="77777777" w:rsidR="00A204DF" w:rsidRPr="00A204DF" w:rsidRDefault="00A204DF"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01B72B12" w14:textId="77777777" w:rsidTr="00A81DD5">
        <w:trPr>
          <w:trHeight w:val="340"/>
        </w:trPr>
        <w:tc>
          <w:tcPr>
            <w:tcW w:w="9072" w:type="dxa"/>
            <w:gridSpan w:val="6"/>
            <w:shd w:val="clear" w:color="000000" w:fill="D9D9D9"/>
            <w:vAlign w:val="center"/>
            <w:hideMark/>
          </w:tcPr>
          <w:p w14:paraId="31E03753" w14:textId="5EFCB91C" w:rsidR="00A204DF" w:rsidRPr="00A204DF" w:rsidRDefault="00A204DF" w:rsidP="00A204DF">
            <w:pPr>
              <w:jc w:val="center"/>
              <w:rPr>
                <w:rFonts w:ascii="Arial" w:eastAsia="Times New Roman" w:hAnsi="Arial" w:cs="Arial"/>
                <w:b/>
                <w:bCs/>
                <w:color w:val="000000"/>
                <w:sz w:val="18"/>
                <w:szCs w:val="20"/>
                <w:lang w:eastAsia="ru-RU"/>
              </w:rPr>
            </w:pPr>
            <w:bookmarkStart w:id="0" w:name="_GoBack"/>
            <w:bookmarkEnd w:id="0"/>
          </w:p>
        </w:tc>
      </w:tr>
      <w:tr w:rsidR="00A81DD5" w:rsidRPr="00C310D4" w14:paraId="38F5C721" w14:textId="77777777" w:rsidTr="00A81DD5">
        <w:trPr>
          <w:trHeight w:val="1357"/>
        </w:trPr>
        <w:tc>
          <w:tcPr>
            <w:tcW w:w="512" w:type="dxa"/>
            <w:shd w:val="clear" w:color="auto" w:fill="auto"/>
            <w:vAlign w:val="center"/>
            <w:hideMark/>
          </w:tcPr>
          <w:p w14:paraId="6AFC02B1" w14:textId="2056752B"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t>15.</w:t>
            </w:r>
          </w:p>
        </w:tc>
        <w:tc>
          <w:tcPr>
            <w:tcW w:w="1785" w:type="dxa"/>
            <w:shd w:val="clear" w:color="auto" w:fill="auto"/>
            <w:vAlign w:val="center"/>
            <w:hideMark/>
          </w:tcPr>
          <w:p w14:paraId="61002022" w14:textId="77777777" w:rsidR="00C310D4" w:rsidRPr="00A204DF"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Промежуточная и сегментная отчетность (</w:t>
            </w:r>
            <w:r w:rsidRPr="00A204DF">
              <w:rPr>
                <w:rFonts w:ascii="Arial" w:eastAsia="Times New Roman" w:hAnsi="Arial" w:cs="Arial"/>
                <w:color w:val="000000"/>
                <w:sz w:val="18"/>
                <w:szCs w:val="20"/>
                <w:lang w:eastAsia="ru-RU"/>
              </w:rPr>
              <w:t>IAS 34, IFRS 8</w:t>
            </w:r>
            <w:r w:rsidRPr="00A204DF">
              <w:rPr>
                <w:rFonts w:ascii="Arial" w:eastAsia="Times New Roman" w:hAnsi="Arial" w:cs="Arial"/>
                <w:b/>
                <w:bCs/>
                <w:color w:val="000000"/>
                <w:sz w:val="18"/>
                <w:szCs w:val="20"/>
                <w:lang w:eastAsia="ru-RU"/>
              </w:rPr>
              <w:t>)</w:t>
            </w:r>
          </w:p>
        </w:tc>
        <w:tc>
          <w:tcPr>
            <w:tcW w:w="4761" w:type="dxa"/>
            <w:shd w:val="clear" w:color="auto" w:fill="auto"/>
            <w:vAlign w:val="center"/>
            <w:hideMark/>
          </w:tcPr>
          <w:p w14:paraId="2C376A14" w14:textId="77777777" w:rsidR="00C310D4" w:rsidRPr="00C310D4"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Форма и содержание промежуточной финансовой отчетности. Существенность. Использование расчетных оценок.</w:t>
            </w:r>
          </w:p>
          <w:p w14:paraId="5CDDB568" w14:textId="64ED466C"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Сфера применения. Отчетные сегменты. Количественные пороги. Информация о продуктах и услугах. Информация о географических областях и основных клиентах.</w:t>
            </w:r>
          </w:p>
        </w:tc>
        <w:tc>
          <w:tcPr>
            <w:tcW w:w="671" w:type="dxa"/>
            <w:shd w:val="clear" w:color="auto" w:fill="auto"/>
            <w:vAlign w:val="center"/>
            <w:hideMark/>
          </w:tcPr>
          <w:p w14:paraId="408536B1"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1" w:type="dxa"/>
            <w:shd w:val="clear" w:color="auto" w:fill="auto"/>
            <w:vAlign w:val="center"/>
            <w:hideMark/>
          </w:tcPr>
          <w:p w14:paraId="518FEAF5"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hideMark/>
          </w:tcPr>
          <w:p w14:paraId="19359DDC"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2</w:t>
            </w:r>
          </w:p>
        </w:tc>
      </w:tr>
      <w:tr w:rsidR="00A81DD5" w:rsidRPr="00C310D4" w14:paraId="7FA956BC" w14:textId="77777777" w:rsidTr="00A81DD5">
        <w:trPr>
          <w:trHeight w:val="1357"/>
        </w:trPr>
        <w:tc>
          <w:tcPr>
            <w:tcW w:w="512" w:type="dxa"/>
            <w:shd w:val="clear" w:color="auto" w:fill="auto"/>
            <w:vAlign w:val="center"/>
          </w:tcPr>
          <w:p w14:paraId="7205388C" w14:textId="3FF06848" w:rsidR="00C310D4" w:rsidRPr="00A204DF" w:rsidRDefault="00C310D4" w:rsidP="00C310D4">
            <w:pPr>
              <w:jc w:val="center"/>
              <w:rPr>
                <w:rFonts w:ascii="Arial" w:eastAsia="Arial" w:hAnsi="Arial" w:cs="Arial"/>
                <w:color w:val="000000"/>
                <w:sz w:val="18"/>
                <w:szCs w:val="20"/>
                <w:lang w:eastAsia="ru-RU"/>
              </w:rPr>
            </w:pPr>
            <w:r w:rsidRPr="00A204DF">
              <w:rPr>
                <w:rFonts w:ascii="Arial" w:eastAsia="Arial" w:hAnsi="Arial" w:cs="Arial"/>
                <w:color w:val="000000"/>
                <w:sz w:val="18"/>
                <w:szCs w:val="20"/>
                <w:lang w:eastAsia="ru-RU"/>
              </w:rPr>
              <w:t>16.</w:t>
            </w:r>
          </w:p>
        </w:tc>
        <w:tc>
          <w:tcPr>
            <w:tcW w:w="1785" w:type="dxa"/>
            <w:shd w:val="clear" w:color="auto" w:fill="auto"/>
            <w:vAlign w:val="center"/>
          </w:tcPr>
          <w:p w14:paraId="79792E38" w14:textId="77777777" w:rsidR="00C310D4" w:rsidRPr="00C310D4" w:rsidRDefault="00C310D4" w:rsidP="00C310D4">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Дополнительное раскрытие информации </w:t>
            </w:r>
          </w:p>
          <w:p w14:paraId="38EF1F7E" w14:textId="77777777" w:rsidR="00C310D4" w:rsidRPr="00C310D4" w:rsidRDefault="00C310D4" w:rsidP="00C310D4">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w:t>
            </w:r>
            <w:r w:rsidRPr="00A204DF">
              <w:rPr>
                <w:rFonts w:ascii="Arial" w:eastAsia="Times New Roman" w:hAnsi="Arial" w:cs="Arial"/>
                <w:color w:val="000000"/>
                <w:sz w:val="18"/>
                <w:szCs w:val="20"/>
                <w:lang w:val="en-US" w:eastAsia="ru-RU"/>
              </w:rPr>
              <w:t>IAS</w:t>
            </w:r>
            <w:r w:rsidRPr="00A204DF">
              <w:rPr>
                <w:rFonts w:ascii="Arial" w:eastAsia="Times New Roman" w:hAnsi="Arial" w:cs="Arial"/>
                <w:color w:val="000000"/>
                <w:sz w:val="18"/>
                <w:szCs w:val="20"/>
                <w:lang w:eastAsia="ru-RU"/>
              </w:rPr>
              <w:t xml:space="preserve"> 10, </w:t>
            </w:r>
            <w:r w:rsidRPr="00A204DF">
              <w:rPr>
                <w:rFonts w:ascii="Arial" w:eastAsia="Times New Roman" w:hAnsi="Arial" w:cs="Arial"/>
                <w:color w:val="000000"/>
                <w:sz w:val="18"/>
                <w:szCs w:val="20"/>
                <w:lang w:val="en-US" w:eastAsia="ru-RU"/>
              </w:rPr>
              <w:t>IAS</w:t>
            </w:r>
            <w:r w:rsidRPr="00A204DF">
              <w:rPr>
                <w:rFonts w:ascii="Arial" w:eastAsia="Times New Roman" w:hAnsi="Arial" w:cs="Arial"/>
                <w:color w:val="000000"/>
                <w:sz w:val="18"/>
                <w:szCs w:val="20"/>
                <w:lang w:eastAsia="ru-RU"/>
              </w:rPr>
              <w:t xml:space="preserve"> 24,</w:t>
            </w:r>
          </w:p>
          <w:p w14:paraId="4897F612" w14:textId="77777777" w:rsidR="00C310D4" w:rsidRPr="00C310D4" w:rsidRDefault="00C310D4" w:rsidP="00C310D4">
            <w:pPr>
              <w:jc w:val="both"/>
              <w:rPr>
                <w:rFonts w:ascii="Arial" w:eastAsia="Times New Roman" w:hAnsi="Arial" w:cs="Arial"/>
                <w:color w:val="000000"/>
                <w:sz w:val="18"/>
                <w:szCs w:val="20"/>
                <w:lang w:val="en-US" w:eastAsia="ru-RU"/>
              </w:rPr>
            </w:pPr>
            <w:r w:rsidRPr="00A204DF">
              <w:rPr>
                <w:rFonts w:ascii="Arial" w:eastAsia="Times New Roman" w:hAnsi="Arial" w:cs="Arial"/>
                <w:color w:val="000000"/>
                <w:sz w:val="18"/>
                <w:szCs w:val="20"/>
                <w:lang w:val="en-US" w:eastAsia="ru-RU"/>
              </w:rPr>
              <w:t>IAS 33, IFRS 13</w:t>
            </w:r>
          </w:p>
          <w:p w14:paraId="08C7ED74" w14:textId="77777777" w:rsidR="00C310D4" w:rsidRPr="00C310D4" w:rsidRDefault="00C310D4" w:rsidP="00C310D4">
            <w:pPr>
              <w:jc w:val="both"/>
              <w:rPr>
                <w:rFonts w:ascii="Arial" w:eastAsia="Times New Roman" w:hAnsi="Arial" w:cs="Arial"/>
                <w:b/>
                <w:bCs/>
                <w:color w:val="000000"/>
                <w:sz w:val="18"/>
                <w:szCs w:val="20"/>
                <w:lang w:val="en-US" w:eastAsia="ru-RU"/>
              </w:rPr>
            </w:pPr>
            <w:r w:rsidRPr="00A204DF">
              <w:rPr>
                <w:rFonts w:ascii="Arial" w:eastAsia="Times New Roman" w:hAnsi="Arial" w:cs="Arial"/>
                <w:color w:val="000000"/>
                <w:sz w:val="18"/>
                <w:szCs w:val="20"/>
                <w:lang w:val="en-US" w:eastAsia="ru-RU"/>
              </w:rPr>
              <w:t>IFRS 1)</w:t>
            </w:r>
          </w:p>
          <w:p w14:paraId="4D5741AE" w14:textId="78ED379B" w:rsidR="00C310D4" w:rsidRPr="00A204DF" w:rsidRDefault="00C310D4" w:rsidP="00C310D4">
            <w:pPr>
              <w:jc w:val="both"/>
              <w:rPr>
                <w:rFonts w:ascii="Arial" w:eastAsia="Times New Roman" w:hAnsi="Arial" w:cs="Arial"/>
                <w:b/>
                <w:bCs/>
                <w:color w:val="000000"/>
                <w:sz w:val="18"/>
                <w:szCs w:val="20"/>
                <w:lang w:eastAsia="ru-RU"/>
              </w:rPr>
            </w:pPr>
            <w:r w:rsidRPr="00A204DF">
              <w:rPr>
                <w:rFonts w:ascii="Calibri" w:eastAsia="Times New Roman" w:hAnsi="Calibri" w:cs="Times New Roman"/>
                <w:color w:val="000000"/>
                <w:sz w:val="18"/>
                <w:szCs w:val="20"/>
                <w:lang w:eastAsia="ru-RU"/>
              </w:rPr>
              <w:t> </w:t>
            </w:r>
          </w:p>
        </w:tc>
        <w:tc>
          <w:tcPr>
            <w:tcW w:w="4761" w:type="dxa"/>
            <w:shd w:val="clear" w:color="auto" w:fill="auto"/>
            <w:vAlign w:val="center"/>
          </w:tcPr>
          <w:p w14:paraId="176CF634" w14:textId="77777777" w:rsidR="00C310D4" w:rsidRPr="00C310D4" w:rsidRDefault="00C310D4" w:rsidP="00190674">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 xml:space="preserve">Основные определения событий после отчетной даты. Утверждение финансовой отчетности к выпуску. Корректирующие и </w:t>
            </w:r>
            <w:proofErr w:type="spellStart"/>
            <w:r w:rsidRPr="00A204DF">
              <w:rPr>
                <w:rFonts w:ascii="Arial" w:eastAsia="Times New Roman" w:hAnsi="Arial" w:cs="Arial"/>
                <w:color w:val="000000"/>
                <w:sz w:val="18"/>
                <w:szCs w:val="20"/>
                <w:lang w:eastAsia="ru-RU"/>
              </w:rPr>
              <w:t>некорректирующие</w:t>
            </w:r>
            <w:proofErr w:type="spellEnd"/>
            <w:r w:rsidRPr="00A204DF">
              <w:rPr>
                <w:rFonts w:ascii="Arial" w:eastAsia="Times New Roman" w:hAnsi="Arial" w:cs="Arial"/>
                <w:color w:val="000000"/>
                <w:sz w:val="18"/>
                <w:szCs w:val="20"/>
                <w:lang w:eastAsia="ru-RU"/>
              </w:rPr>
              <w:t xml:space="preserve"> события. Требования к раскрытию информации.</w:t>
            </w:r>
          </w:p>
          <w:p w14:paraId="4A2DF791" w14:textId="77777777" w:rsidR="00C310D4" w:rsidRPr="00C310D4" w:rsidRDefault="00C310D4" w:rsidP="00190674">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Цель раскрытия информации о связанных сторонах. Определения. Требования к раскрытию информации.</w:t>
            </w:r>
          </w:p>
          <w:p w14:paraId="607F44E0" w14:textId="77777777" w:rsidR="00C310D4" w:rsidRPr="00C310D4" w:rsidRDefault="00C310D4" w:rsidP="00190674">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Сфера применения. Базовая прибыль на акцию. Разводненная прибыль на акцию. Конвертируемые инструменты. Раскрытие информации.</w:t>
            </w:r>
          </w:p>
          <w:p w14:paraId="0D821EFE" w14:textId="77777777" w:rsidR="00C310D4" w:rsidRPr="00C310D4" w:rsidRDefault="00C310D4" w:rsidP="00190674">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lastRenderedPageBreak/>
              <w:t>Определение справедливой стоимости. Определение основного рынка. Методы оценки. Иерархия справедливой стоимости. Требования к раскрытию информации. </w:t>
            </w:r>
          </w:p>
          <w:p w14:paraId="277F8AF3" w14:textId="53EBB30A"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Начальный отчет о финансовом положении по МСФО. Сравнительная информация. Пояснения к переходу на МСФО.</w:t>
            </w:r>
          </w:p>
        </w:tc>
        <w:tc>
          <w:tcPr>
            <w:tcW w:w="671" w:type="dxa"/>
            <w:shd w:val="clear" w:color="auto" w:fill="auto"/>
            <w:vAlign w:val="center"/>
          </w:tcPr>
          <w:p w14:paraId="630264D7" w14:textId="4ADE86E2"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lastRenderedPageBreak/>
              <w:t>3</w:t>
            </w:r>
          </w:p>
        </w:tc>
        <w:tc>
          <w:tcPr>
            <w:tcW w:w="671" w:type="dxa"/>
            <w:shd w:val="clear" w:color="auto" w:fill="auto"/>
            <w:vAlign w:val="center"/>
          </w:tcPr>
          <w:p w14:paraId="6DE380C4" w14:textId="55E95D3F"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w:t>
            </w:r>
          </w:p>
        </w:tc>
        <w:tc>
          <w:tcPr>
            <w:tcW w:w="672" w:type="dxa"/>
            <w:shd w:val="clear" w:color="auto" w:fill="auto"/>
            <w:vAlign w:val="center"/>
          </w:tcPr>
          <w:p w14:paraId="4BCFD849" w14:textId="74AB2F39"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4</w:t>
            </w:r>
          </w:p>
        </w:tc>
      </w:tr>
      <w:tr w:rsidR="00A81DD5" w:rsidRPr="00C310D4" w14:paraId="77543D04" w14:textId="77777777" w:rsidTr="00A81DD5">
        <w:trPr>
          <w:trHeight w:val="57"/>
        </w:trPr>
        <w:tc>
          <w:tcPr>
            <w:tcW w:w="512" w:type="dxa"/>
            <w:shd w:val="clear" w:color="auto" w:fill="auto"/>
            <w:vAlign w:val="center"/>
            <w:hideMark/>
          </w:tcPr>
          <w:p w14:paraId="59F79AD3" w14:textId="24DE3D8F" w:rsidR="00C310D4" w:rsidRPr="00A204DF" w:rsidRDefault="00C310D4" w:rsidP="00C310D4">
            <w:pPr>
              <w:jc w:val="center"/>
              <w:rPr>
                <w:rFonts w:ascii="Arial" w:eastAsia="Times New Roman" w:hAnsi="Arial" w:cs="Arial"/>
                <w:color w:val="000000"/>
                <w:sz w:val="18"/>
                <w:szCs w:val="20"/>
                <w:lang w:eastAsia="ru-RU"/>
              </w:rPr>
            </w:pPr>
            <w:r w:rsidRPr="00A204DF">
              <w:rPr>
                <w:rFonts w:ascii="Arial" w:eastAsia="Arial" w:hAnsi="Arial" w:cs="Arial"/>
                <w:color w:val="000000"/>
                <w:sz w:val="18"/>
                <w:szCs w:val="20"/>
                <w:lang w:eastAsia="ru-RU"/>
              </w:rPr>
              <w:lastRenderedPageBreak/>
              <w:t>17.</w:t>
            </w:r>
          </w:p>
        </w:tc>
        <w:tc>
          <w:tcPr>
            <w:tcW w:w="1785" w:type="dxa"/>
            <w:shd w:val="clear" w:color="auto" w:fill="auto"/>
            <w:vAlign w:val="center"/>
            <w:hideMark/>
          </w:tcPr>
          <w:p w14:paraId="0AFB7955" w14:textId="77777777" w:rsidR="00C310D4" w:rsidRPr="00A204DF" w:rsidRDefault="00C310D4" w:rsidP="00A204DF">
            <w:pPr>
              <w:jc w:val="both"/>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Консультации для подготовки к экзамену</w:t>
            </w:r>
          </w:p>
        </w:tc>
        <w:tc>
          <w:tcPr>
            <w:tcW w:w="4761" w:type="dxa"/>
            <w:shd w:val="clear" w:color="auto" w:fill="auto"/>
            <w:vAlign w:val="center"/>
            <w:hideMark/>
          </w:tcPr>
          <w:p w14:paraId="6C6A5BD6" w14:textId="77777777" w:rsidR="00C310D4" w:rsidRPr="00A204DF" w:rsidRDefault="00C310D4" w:rsidP="00A204DF">
            <w:pPr>
              <w:jc w:val="both"/>
              <w:rPr>
                <w:rFonts w:ascii="Arial" w:eastAsia="Times New Roman" w:hAnsi="Arial" w:cs="Arial"/>
                <w:color w:val="000000"/>
                <w:sz w:val="18"/>
                <w:szCs w:val="20"/>
                <w:lang w:eastAsia="ru-RU"/>
              </w:rPr>
            </w:pPr>
            <w:r w:rsidRPr="00A204DF">
              <w:rPr>
                <w:rFonts w:ascii="Arial" w:eastAsia="Times New Roman" w:hAnsi="Arial" w:cs="Arial"/>
                <w:color w:val="000000"/>
                <w:sz w:val="18"/>
                <w:szCs w:val="20"/>
                <w:lang w:eastAsia="ru-RU"/>
              </w:rPr>
              <w:t>Решение типовых заданий. Ответы на вопросы.</w:t>
            </w:r>
          </w:p>
        </w:tc>
        <w:tc>
          <w:tcPr>
            <w:tcW w:w="671" w:type="dxa"/>
            <w:shd w:val="clear" w:color="auto" w:fill="auto"/>
            <w:vAlign w:val="center"/>
            <w:hideMark/>
          </w:tcPr>
          <w:p w14:paraId="47521628"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4</w:t>
            </w:r>
          </w:p>
        </w:tc>
        <w:tc>
          <w:tcPr>
            <w:tcW w:w="671" w:type="dxa"/>
            <w:shd w:val="clear" w:color="auto" w:fill="auto"/>
            <w:vAlign w:val="center"/>
            <w:hideMark/>
          </w:tcPr>
          <w:p w14:paraId="3328C849"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8</w:t>
            </w:r>
          </w:p>
        </w:tc>
        <w:tc>
          <w:tcPr>
            <w:tcW w:w="672" w:type="dxa"/>
            <w:shd w:val="clear" w:color="auto" w:fill="auto"/>
            <w:vAlign w:val="center"/>
            <w:hideMark/>
          </w:tcPr>
          <w:p w14:paraId="3E98647F" w14:textId="77777777" w:rsidR="00C310D4" w:rsidRPr="00A204DF" w:rsidRDefault="00C310D4" w:rsidP="00A204DF">
            <w:pPr>
              <w:jc w:val="center"/>
              <w:rPr>
                <w:rFonts w:ascii="Arial" w:eastAsia="Times New Roman" w:hAnsi="Arial" w:cs="Arial"/>
                <w:b/>
                <w:bCs/>
                <w:color w:val="000000"/>
                <w:sz w:val="18"/>
                <w:szCs w:val="20"/>
                <w:lang w:eastAsia="ru-RU"/>
              </w:rPr>
            </w:pPr>
            <w:r w:rsidRPr="00A204DF">
              <w:rPr>
                <w:rFonts w:ascii="Arial" w:eastAsia="Times New Roman" w:hAnsi="Arial" w:cs="Arial"/>
                <w:b/>
                <w:bCs/>
                <w:color w:val="000000"/>
                <w:sz w:val="18"/>
                <w:szCs w:val="20"/>
                <w:lang w:eastAsia="ru-RU"/>
              </w:rPr>
              <w:t>12</w:t>
            </w:r>
          </w:p>
        </w:tc>
      </w:tr>
      <w:tr w:rsidR="00A81DD5" w:rsidRPr="00C310D4" w14:paraId="3DE3170E" w14:textId="77777777" w:rsidTr="00A81DD5">
        <w:trPr>
          <w:trHeight w:val="57"/>
        </w:trPr>
        <w:tc>
          <w:tcPr>
            <w:tcW w:w="512" w:type="dxa"/>
            <w:shd w:val="clear" w:color="auto" w:fill="BFBFBF" w:themeFill="background1" w:themeFillShade="BF"/>
            <w:vAlign w:val="center"/>
            <w:hideMark/>
          </w:tcPr>
          <w:p w14:paraId="75B5BD55" w14:textId="37C0F03C" w:rsidR="00C310D4" w:rsidRPr="00A204DF" w:rsidRDefault="00C310D4" w:rsidP="00C310D4">
            <w:pPr>
              <w:jc w:val="center"/>
              <w:rPr>
                <w:rFonts w:ascii="Arial" w:eastAsia="Times New Roman" w:hAnsi="Arial" w:cs="Arial"/>
                <w:b/>
                <w:sz w:val="18"/>
                <w:szCs w:val="20"/>
                <w:lang w:eastAsia="ru-RU"/>
              </w:rPr>
            </w:pPr>
            <w:r w:rsidRPr="00A204DF">
              <w:rPr>
                <w:rFonts w:ascii="Arial" w:eastAsia="Arial" w:hAnsi="Arial" w:cs="Arial"/>
                <w:b/>
                <w:sz w:val="18"/>
                <w:szCs w:val="20"/>
                <w:lang w:eastAsia="ru-RU"/>
              </w:rPr>
              <w:t>18.</w:t>
            </w:r>
            <w:r w:rsidRPr="00A204DF">
              <w:rPr>
                <w:rFonts w:ascii="Times New Roman" w:eastAsia="Arial" w:hAnsi="Times New Roman" w:cs="Times New Roman"/>
                <w:b/>
                <w:sz w:val="18"/>
                <w:szCs w:val="20"/>
                <w:lang w:eastAsia="ru-RU"/>
              </w:rPr>
              <w:t> </w:t>
            </w:r>
          </w:p>
        </w:tc>
        <w:tc>
          <w:tcPr>
            <w:tcW w:w="1785" w:type="dxa"/>
            <w:shd w:val="clear" w:color="auto" w:fill="BFBFBF" w:themeFill="background1" w:themeFillShade="BF"/>
            <w:vAlign w:val="center"/>
            <w:hideMark/>
          </w:tcPr>
          <w:p w14:paraId="582D61E2" w14:textId="77777777" w:rsidR="00C310D4" w:rsidRPr="00A204DF" w:rsidRDefault="00C310D4" w:rsidP="00A204DF">
            <w:pPr>
              <w:jc w:val="both"/>
              <w:rPr>
                <w:rFonts w:ascii="Arial" w:eastAsia="Times New Roman" w:hAnsi="Arial" w:cs="Arial"/>
                <w:b/>
                <w:sz w:val="18"/>
                <w:szCs w:val="20"/>
                <w:lang w:eastAsia="ru-RU"/>
              </w:rPr>
            </w:pPr>
            <w:r w:rsidRPr="00A204DF">
              <w:rPr>
                <w:rFonts w:ascii="Arial" w:eastAsia="Times New Roman" w:hAnsi="Arial" w:cs="Arial"/>
                <w:b/>
                <w:sz w:val="18"/>
                <w:szCs w:val="20"/>
                <w:lang w:eastAsia="ru-RU"/>
              </w:rPr>
              <w:t>Всего:</w:t>
            </w:r>
          </w:p>
        </w:tc>
        <w:tc>
          <w:tcPr>
            <w:tcW w:w="4761" w:type="dxa"/>
            <w:shd w:val="clear" w:color="auto" w:fill="BFBFBF" w:themeFill="background1" w:themeFillShade="BF"/>
            <w:vAlign w:val="center"/>
            <w:hideMark/>
          </w:tcPr>
          <w:p w14:paraId="60110C9E" w14:textId="77777777" w:rsidR="00C310D4" w:rsidRPr="00A204DF" w:rsidRDefault="00C310D4" w:rsidP="00A204DF">
            <w:pPr>
              <w:jc w:val="both"/>
              <w:rPr>
                <w:rFonts w:ascii="Arial" w:eastAsia="Times New Roman" w:hAnsi="Arial" w:cs="Arial"/>
                <w:b/>
                <w:sz w:val="18"/>
                <w:szCs w:val="20"/>
                <w:lang w:eastAsia="ru-RU"/>
              </w:rPr>
            </w:pPr>
            <w:r w:rsidRPr="00A204DF">
              <w:rPr>
                <w:rFonts w:ascii="Arial" w:eastAsia="Times New Roman" w:hAnsi="Arial" w:cs="Arial"/>
                <w:b/>
                <w:sz w:val="18"/>
                <w:szCs w:val="20"/>
                <w:lang w:eastAsia="ru-RU"/>
              </w:rPr>
              <w:t> </w:t>
            </w:r>
          </w:p>
        </w:tc>
        <w:tc>
          <w:tcPr>
            <w:tcW w:w="671" w:type="dxa"/>
            <w:shd w:val="clear" w:color="auto" w:fill="BFBFBF" w:themeFill="background1" w:themeFillShade="BF"/>
            <w:vAlign w:val="center"/>
            <w:hideMark/>
          </w:tcPr>
          <w:p w14:paraId="091DEA5C" w14:textId="77777777" w:rsidR="00C310D4" w:rsidRPr="00A204DF" w:rsidRDefault="00C310D4" w:rsidP="00A204DF">
            <w:pPr>
              <w:jc w:val="center"/>
              <w:rPr>
                <w:rFonts w:ascii="Arial" w:eastAsia="Times New Roman" w:hAnsi="Arial" w:cs="Arial"/>
                <w:b/>
                <w:bCs/>
                <w:sz w:val="18"/>
                <w:szCs w:val="20"/>
                <w:lang w:eastAsia="ru-RU"/>
              </w:rPr>
            </w:pPr>
            <w:r w:rsidRPr="00A204DF">
              <w:rPr>
                <w:rFonts w:ascii="Arial" w:eastAsia="Times New Roman" w:hAnsi="Arial" w:cs="Arial"/>
                <w:b/>
                <w:bCs/>
                <w:sz w:val="18"/>
                <w:szCs w:val="20"/>
                <w:lang w:eastAsia="ru-RU"/>
              </w:rPr>
              <w:t>42</w:t>
            </w:r>
          </w:p>
        </w:tc>
        <w:tc>
          <w:tcPr>
            <w:tcW w:w="671" w:type="dxa"/>
            <w:shd w:val="clear" w:color="auto" w:fill="BFBFBF" w:themeFill="background1" w:themeFillShade="BF"/>
            <w:vAlign w:val="center"/>
            <w:hideMark/>
          </w:tcPr>
          <w:p w14:paraId="5BB4808B" w14:textId="77777777" w:rsidR="00C310D4" w:rsidRPr="00A204DF" w:rsidRDefault="00C310D4" w:rsidP="00A204DF">
            <w:pPr>
              <w:jc w:val="center"/>
              <w:rPr>
                <w:rFonts w:ascii="Arial" w:eastAsia="Times New Roman" w:hAnsi="Arial" w:cs="Arial"/>
                <w:b/>
                <w:bCs/>
                <w:sz w:val="18"/>
                <w:szCs w:val="20"/>
                <w:lang w:eastAsia="ru-RU"/>
              </w:rPr>
            </w:pPr>
            <w:r w:rsidRPr="00A204DF">
              <w:rPr>
                <w:rFonts w:ascii="Arial" w:eastAsia="Times New Roman" w:hAnsi="Arial" w:cs="Arial"/>
                <w:b/>
                <w:bCs/>
                <w:sz w:val="18"/>
                <w:szCs w:val="20"/>
                <w:lang w:eastAsia="ru-RU"/>
              </w:rPr>
              <w:t>30</w:t>
            </w:r>
          </w:p>
        </w:tc>
        <w:tc>
          <w:tcPr>
            <w:tcW w:w="672" w:type="dxa"/>
            <w:shd w:val="clear" w:color="auto" w:fill="BFBFBF" w:themeFill="background1" w:themeFillShade="BF"/>
            <w:vAlign w:val="center"/>
            <w:hideMark/>
          </w:tcPr>
          <w:p w14:paraId="36B44C62" w14:textId="77777777" w:rsidR="00C310D4" w:rsidRPr="00A204DF" w:rsidRDefault="00C310D4" w:rsidP="00A204DF">
            <w:pPr>
              <w:jc w:val="center"/>
              <w:rPr>
                <w:rFonts w:ascii="Arial" w:eastAsia="Times New Roman" w:hAnsi="Arial" w:cs="Arial"/>
                <w:b/>
                <w:bCs/>
                <w:sz w:val="18"/>
                <w:szCs w:val="20"/>
                <w:lang w:eastAsia="ru-RU"/>
              </w:rPr>
            </w:pPr>
            <w:r w:rsidRPr="00A204DF">
              <w:rPr>
                <w:rFonts w:ascii="Arial" w:eastAsia="Times New Roman" w:hAnsi="Arial" w:cs="Arial"/>
                <w:b/>
                <w:bCs/>
                <w:sz w:val="18"/>
                <w:szCs w:val="20"/>
                <w:lang w:eastAsia="ru-RU"/>
              </w:rPr>
              <w:t>72</w:t>
            </w:r>
          </w:p>
        </w:tc>
      </w:tr>
    </w:tbl>
    <w:p w14:paraId="46FB14A6" w14:textId="77777777" w:rsidR="00A204DF" w:rsidRDefault="00A204DF" w:rsidP="00BA0AED">
      <w:pPr>
        <w:jc w:val="center"/>
        <w:rPr>
          <w:rFonts w:ascii="Arial" w:hAnsi="Arial" w:cs="Arial"/>
          <w:b/>
          <w:szCs w:val="18"/>
          <w:lang w:eastAsia="ru-RU"/>
        </w:rPr>
      </w:pPr>
    </w:p>
    <w:p w14:paraId="2953FD65" w14:textId="77777777" w:rsidR="00A204DF" w:rsidRDefault="00A204DF" w:rsidP="00BA0AED">
      <w:pPr>
        <w:jc w:val="center"/>
        <w:rPr>
          <w:rFonts w:ascii="Arial" w:hAnsi="Arial" w:cs="Arial"/>
          <w:b/>
          <w:szCs w:val="18"/>
          <w:lang w:eastAsia="ru-RU"/>
        </w:rPr>
      </w:pPr>
    </w:p>
    <w:p w14:paraId="162CE469" w14:textId="77777777" w:rsidR="00A204DF" w:rsidRPr="00FE09A7" w:rsidRDefault="00A204DF" w:rsidP="00BA0AED">
      <w:pPr>
        <w:jc w:val="center"/>
        <w:rPr>
          <w:rFonts w:ascii="Arial" w:hAnsi="Arial" w:cs="Arial"/>
          <w:b/>
          <w:szCs w:val="18"/>
          <w:lang w:eastAsia="ru-RU"/>
        </w:rPr>
      </w:pPr>
    </w:p>
    <w:p w14:paraId="61B9EFC1" w14:textId="77777777" w:rsidR="003F2134" w:rsidRPr="00530980" w:rsidRDefault="003F2134" w:rsidP="00BA0AED">
      <w:pPr>
        <w:jc w:val="center"/>
        <w:rPr>
          <w:sz w:val="28"/>
        </w:rPr>
      </w:pPr>
    </w:p>
    <w:p w14:paraId="41947398" w14:textId="77777777" w:rsidR="00BA0AED" w:rsidRDefault="00BA0AED" w:rsidP="00BA0AED">
      <w:pPr>
        <w:rPr>
          <w:sz w:val="28"/>
        </w:rPr>
      </w:pPr>
    </w:p>
    <w:sectPr w:rsidR="00BA0AED" w:rsidSect="003E501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2284"/>
    <w:multiLevelType w:val="multilevel"/>
    <w:tmpl w:val="C66C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A64EB1"/>
    <w:multiLevelType w:val="hybridMultilevel"/>
    <w:tmpl w:val="42CCF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ED"/>
    <w:rsid w:val="00002BFC"/>
    <w:rsid w:val="000848C1"/>
    <w:rsid w:val="000A451E"/>
    <w:rsid w:val="000C4338"/>
    <w:rsid w:val="00113FFA"/>
    <w:rsid w:val="002056FE"/>
    <w:rsid w:val="00271167"/>
    <w:rsid w:val="00273305"/>
    <w:rsid w:val="002B4029"/>
    <w:rsid w:val="002C0255"/>
    <w:rsid w:val="002D7387"/>
    <w:rsid w:val="00311D5E"/>
    <w:rsid w:val="00321BDB"/>
    <w:rsid w:val="003263A5"/>
    <w:rsid w:val="0033597C"/>
    <w:rsid w:val="003831BA"/>
    <w:rsid w:val="00383F3E"/>
    <w:rsid w:val="003B320B"/>
    <w:rsid w:val="003E5014"/>
    <w:rsid w:val="003F2134"/>
    <w:rsid w:val="0043587B"/>
    <w:rsid w:val="00435EDE"/>
    <w:rsid w:val="00485305"/>
    <w:rsid w:val="004B1F90"/>
    <w:rsid w:val="004C0ED4"/>
    <w:rsid w:val="004C29AC"/>
    <w:rsid w:val="004D2946"/>
    <w:rsid w:val="00530980"/>
    <w:rsid w:val="005357DD"/>
    <w:rsid w:val="00540815"/>
    <w:rsid w:val="0057741E"/>
    <w:rsid w:val="00585442"/>
    <w:rsid w:val="005D0CE2"/>
    <w:rsid w:val="005D296D"/>
    <w:rsid w:val="005F6825"/>
    <w:rsid w:val="00603362"/>
    <w:rsid w:val="006F4E05"/>
    <w:rsid w:val="00726C9B"/>
    <w:rsid w:val="00781DAA"/>
    <w:rsid w:val="00783943"/>
    <w:rsid w:val="007B4B09"/>
    <w:rsid w:val="007E2701"/>
    <w:rsid w:val="007F3A02"/>
    <w:rsid w:val="00870B82"/>
    <w:rsid w:val="0087217B"/>
    <w:rsid w:val="008726B4"/>
    <w:rsid w:val="00874582"/>
    <w:rsid w:val="008A10EB"/>
    <w:rsid w:val="008B2CEC"/>
    <w:rsid w:val="008B51A2"/>
    <w:rsid w:val="00911256"/>
    <w:rsid w:val="009F732C"/>
    <w:rsid w:val="00A204DF"/>
    <w:rsid w:val="00A81DD5"/>
    <w:rsid w:val="00AC4524"/>
    <w:rsid w:val="00AC4B46"/>
    <w:rsid w:val="00B05B6F"/>
    <w:rsid w:val="00B24627"/>
    <w:rsid w:val="00B259F7"/>
    <w:rsid w:val="00B3454B"/>
    <w:rsid w:val="00B37897"/>
    <w:rsid w:val="00B93C2B"/>
    <w:rsid w:val="00BA0AED"/>
    <w:rsid w:val="00BB498D"/>
    <w:rsid w:val="00BF4C13"/>
    <w:rsid w:val="00C1419A"/>
    <w:rsid w:val="00C15988"/>
    <w:rsid w:val="00C310D4"/>
    <w:rsid w:val="00C44F76"/>
    <w:rsid w:val="00C95374"/>
    <w:rsid w:val="00CC0697"/>
    <w:rsid w:val="00CC517C"/>
    <w:rsid w:val="00D2694E"/>
    <w:rsid w:val="00D46D00"/>
    <w:rsid w:val="00D65D83"/>
    <w:rsid w:val="00D92F34"/>
    <w:rsid w:val="00D9423A"/>
    <w:rsid w:val="00DA1D57"/>
    <w:rsid w:val="00DF1551"/>
    <w:rsid w:val="00E8258A"/>
    <w:rsid w:val="00EB438B"/>
    <w:rsid w:val="00ED2952"/>
    <w:rsid w:val="00F210ED"/>
    <w:rsid w:val="00F2465D"/>
    <w:rsid w:val="00FE09A7"/>
    <w:rsid w:val="00FE4C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31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A0AED"/>
  </w:style>
  <w:style w:type="character" w:styleId="a4">
    <w:name w:val="Hyperlink"/>
    <w:basedOn w:val="a0"/>
    <w:uiPriority w:val="99"/>
    <w:semiHidden/>
    <w:unhideWhenUsed/>
    <w:rsid w:val="00BA0AED"/>
    <w:rPr>
      <w:color w:val="0000FF"/>
      <w:u w:val="single"/>
    </w:rPr>
  </w:style>
  <w:style w:type="character" w:styleId="a5">
    <w:name w:val="Strong"/>
    <w:basedOn w:val="a0"/>
    <w:uiPriority w:val="22"/>
    <w:qFormat/>
    <w:rsid w:val="003F2134"/>
    <w:rPr>
      <w:b/>
      <w:bCs/>
    </w:rPr>
  </w:style>
  <w:style w:type="paragraph" w:styleId="a6">
    <w:name w:val="Normal (Web)"/>
    <w:basedOn w:val="a"/>
    <w:uiPriority w:val="99"/>
    <w:semiHidden/>
    <w:unhideWhenUsed/>
    <w:rsid w:val="003F2134"/>
    <w:pPr>
      <w:spacing w:before="100" w:beforeAutospacing="1" w:after="100" w:afterAutospacing="1"/>
    </w:pPr>
    <w:rPr>
      <w:rFonts w:ascii="Times New Roman" w:hAnsi="Times New Roman" w:cs="Times New Roman"/>
      <w:lang w:eastAsia="ru-RU"/>
    </w:rPr>
  </w:style>
  <w:style w:type="paragraph" w:styleId="a7">
    <w:name w:val="List Paragraph"/>
    <w:basedOn w:val="a"/>
    <w:uiPriority w:val="34"/>
    <w:qFormat/>
    <w:rsid w:val="002056FE"/>
    <w:pPr>
      <w:ind w:left="720"/>
      <w:contextualSpacing/>
    </w:pPr>
  </w:style>
  <w:style w:type="paragraph" w:styleId="a8">
    <w:name w:val="Balloon Text"/>
    <w:basedOn w:val="a"/>
    <w:link w:val="a9"/>
    <w:uiPriority w:val="99"/>
    <w:semiHidden/>
    <w:unhideWhenUsed/>
    <w:rsid w:val="000C4338"/>
    <w:rPr>
      <w:rFonts w:ascii="Tahoma" w:hAnsi="Tahoma" w:cs="Tahoma"/>
      <w:sz w:val="16"/>
      <w:szCs w:val="16"/>
    </w:rPr>
  </w:style>
  <w:style w:type="character" w:customStyle="1" w:styleId="a9">
    <w:name w:val="Текст выноски Знак"/>
    <w:basedOn w:val="a0"/>
    <w:link w:val="a8"/>
    <w:uiPriority w:val="99"/>
    <w:semiHidden/>
    <w:rsid w:val="000C4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A0AED"/>
  </w:style>
  <w:style w:type="character" w:styleId="a4">
    <w:name w:val="Hyperlink"/>
    <w:basedOn w:val="a0"/>
    <w:uiPriority w:val="99"/>
    <w:semiHidden/>
    <w:unhideWhenUsed/>
    <w:rsid w:val="00BA0AED"/>
    <w:rPr>
      <w:color w:val="0000FF"/>
      <w:u w:val="single"/>
    </w:rPr>
  </w:style>
  <w:style w:type="character" w:styleId="a5">
    <w:name w:val="Strong"/>
    <w:basedOn w:val="a0"/>
    <w:uiPriority w:val="22"/>
    <w:qFormat/>
    <w:rsid w:val="003F2134"/>
    <w:rPr>
      <w:b/>
      <w:bCs/>
    </w:rPr>
  </w:style>
  <w:style w:type="paragraph" w:styleId="a6">
    <w:name w:val="Normal (Web)"/>
    <w:basedOn w:val="a"/>
    <w:uiPriority w:val="99"/>
    <w:semiHidden/>
    <w:unhideWhenUsed/>
    <w:rsid w:val="003F2134"/>
    <w:pPr>
      <w:spacing w:before="100" w:beforeAutospacing="1" w:after="100" w:afterAutospacing="1"/>
    </w:pPr>
    <w:rPr>
      <w:rFonts w:ascii="Times New Roman" w:hAnsi="Times New Roman" w:cs="Times New Roman"/>
      <w:lang w:eastAsia="ru-RU"/>
    </w:rPr>
  </w:style>
  <w:style w:type="paragraph" w:styleId="a7">
    <w:name w:val="List Paragraph"/>
    <w:basedOn w:val="a"/>
    <w:uiPriority w:val="34"/>
    <w:qFormat/>
    <w:rsid w:val="002056FE"/>
    <w:pPr>
      <w:ind w:left="720"/>
      <w:contextualSpacing/>
    </w:pPr>
  </w:style>
  <w:style w:type="paragraph" w:styleId="a8">
    <w:name w:val="Balloon Text"/>
    <w:basedOn w:val="a"/>
    <w:link w:val="a9"/>
    <w:uiPriority w:val="99"/>
    <w:semiHidden/>
    <w:unhideWhenUsed/>
    <w:rsid w:val="000C4338"/>
    <w:rPr>
      <w:rFonts w:ascii="Tahoma" w:hAnsi="Tahoma" w:cs="Tahoma"/>
      <w:sz w:val="16"/>
      <w:szCs w:val="16"/>
    </w:rPr>
  </w:style>
  <w:style w:type="character" w:customStyle="1" w:styleId="a9">
    <w:name w:val="Текст выноски Знак"/>
    <w:basedOn w:val="a0"/>
    <w:link w:val="a8"/>
    <w:uiPriority w:val="99"/>
    <w:semiHidden/>
    <w:rsid w:val="000C4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47736">
      <w:bodyDiv w:val="1"/>
      <w:marLeft w:val="0"/>
      <w:marRight w:val="0"/>
      <w:marTop w:val="0"/>
      <w:marBottom w:val="0"/>
      <w:divBdr>
        <w:top w:val="none" w:sz="0" w:space="0" w:color="auto"/>
        <w:left w:val="none" w:sz="0" w:space="0" w:color="auto"/>
        <w:bottom w:val="none" w:sz="0" w:space="0" w:color="auto"/>
        <w:right w:val="none" w:sz="0" w:space="0" w:color="auto"/>
      </w:divBdr>
    </w:div>
    <w:div w:id="1410887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3777</Words>
  <Characters>2154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Олена</dc:creator>
  <cp:keywords/>
  <dc:description/>
  <cp:lastModifiedBy>COMP</cp:lastModifiedBy>
  <cp:revision>8</cp:revision>
  <cp:lastPrinted>2016-10-31T16:06:00Z</cp:lastPrinted>
  <dcterms:created xsi:type="dcterms:W3CDTF">2016-04-05T09:45:00Z</dcterms:created>
  <dcterms:modified xsi:type="dcterms:W3CDTF">2018-02-15T11:21:00Z</dcterms:modified>
  <cp:category/>
</cp:coreProperties>
</file>