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79" w:rsidRDefault="00E82D04" w:rsidP="00E82D04">
      <w:pPr>
        <w:rPr>
          <w:rFonts w:ascii="Arial" w:hAnsi="Arial" w:cs="Arial"/>
          <w:b/>
          <w:lang w:val="en-US"/>
        </w:rPr>
      </w:pPr>
      <w:r w:rsidRPr="006E1C79">
        <w:rPr>
          <w:noProof/>
          <w:lang w:val="uk-UA" w:eastAsia="uk-UA"/>
        </w:rPr>
        <w:drawing>
          <wp:anchor distT="0" distB="0" distL="114300" distR="114300" simplePos="0" relativeHeight="251661312" behindDoc="0" locked="0" layoutInCell="1" allowOverlap="1" wp14:anchorId="119202D9" wp14:editId="1008BE6B">
            <wp:simplePos x="0" y="0"/>
            <wp:positionH relativeFrom="column">
              <wp:posOffset>-780415</wp:posOffset>
            </wp:positionH>
            <wp:positionV relativeFrom="paragraph">
              <wp:posOffset>-547370</wp:posOffset>
            </wp:positionV>
            <wp:extent cx="579755" cy="6838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683895"/>
                    </a:xfrm>
                    <a:prstGeom prst="rect">
                      <a:avLst/>
                    </a:prstGeom>
                    <a:noFill/>
                  </pic:spPr>
                </pic:pic>
              </a:graphicData>
            </a:graphic>
            <wp14:sizeRelH relativeFrom="page">
              <wp14:pctWidth>0</wp14:pctWidth>
            </wp14:sizeRelH>
            <wp14:sizeRelV relativeFrom="page">
              <wp14:pctHeight>0</wp14:pctHeight>
            </wp14:sizeRelV>
          </wp:anchor>
        </w:drawing>
      </w:r>
      <w:r w:rsidRPr="006E1C79">
        <w:rPr>
          <w:noProof/>
          <w:lang w:val="uk-UA" w:eastAsia="uk-UA"/>
        </w:rPr>
        <w:drawing>
          <wp:anchor distT="0" distB="0" distL="114300" distR="114300" simplePos="0" relativeHeight="251659264" behindDoc="0" locked="0" layoutInCell="1" allowOverlap="1" wp14:anchorId="4910A694" wp14:editId="653BD7F0">
            <wp:simplePos x="0" y="0"/>
            <wp:positionH relativeFrom="column">
              <wp:posOffset>5326380</wp:posOffset>
            </wp:positionH>
            <wp:positionV relativeFrom="paragraph">
              <wp:posOffset>-662940</wp:posOffset>
            </wp:positionV>
            <wp:extent cx="1010920" cy="7556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lang w:val="en-US"/>
        </w:rPr>
        <w:t xml:space="preserve">                                  </w:t>
      </w:r>
      <w:r w:rsidR="006E1C79" w:rsidRPr="006E1C79">
        <w:rPr>
          <w:rFonts w:ascii="Arial" w:hAnsi="Arial" w:cs="Arial"/>
          <w:b/>
          <w:lang w:val="uk-UA"/>
        </w:rPr>
        <w:t>Програма «Фінансова МСФЗ - звітність»</w:t>
      </w:r>
    </w:p>
    <w:p w:rsidR="004F7D2E" w:rsidRPr="00E82D04" w:rsidRDefault="006E1C79" w:rsidP="00E82D04">
      <w:pPr>
        <w:jc w:val="center"/>
        <w:rPr>
          <w:rFonts w:ascii="Tahoma" w:hAnsi="Tahoma" w:cs="Tahoma"/>
          <w:b/>
          <w:sz w:val="18"/>
          <w:szCs w:val="18"/>
          <w:lang w:val="en-US"/>
        </w:rPr>
      </w:pPr>
      <w:r w:rsidRPr="00E82D04">
        <w:rPr>
          <w:rFonts w:ascii="Tahoma" w:hAnsi="Tahoma" w:cs="Tahoma"/>
          <w:b/>
          <w:sz w:val="18"/>
          <w:szCs w:val="18"/>
          <w:lang w:val="uk-UA"/>
        </w:rPr>
        <w:t>підготовка підвищення кваліфікації фахівців України</w:t>
      </w:r>
    </w:p>
    <w:p w:rsidR="00EE2684" w:rsidRDefault="006E1C79" w:rsidP="000242B6">
      <w:pPr>
        <w:spacing w:after="60"/>
        <w:jc w:val="both"/>
        <w:rPr>
          <w:rFonts w:ascii="Tahoma" w:hAnsi="Tahoma" w:cs="Tahoma"/>
          <w:sz w:val="18"/>
          <w:szCs w:val="18"/>
          <w:lang w:val="uk-UA"/>
        </w:rPr>
      </w:pPr>
      <w:r w:rsidRPr="004F7D2E">
        <w:rPr>
          <w:rFonts w:ascii="Tahoma" w:hAnsi="Tahoma" w:cs="Tahoma"/>
          <w:sz w:val="18"/>
          <w:szCs w:val="18"/>
          <w:lang w:val="uk-UA"/>
        </w:rPr>
        <w:t>Програма дає можливість забезпечити отримання відповідних знань для учасників і фахівців публічних компаній в області МСФЗ.</w:t>
      </w:r>
      <w:r w:rsidR="005204C4" w:rsidRPr="004F7D2E">
        <w:rPr>
          <w:rFonts w:ascii="Tahoma" w:hAnsi="Tahoma" w:cs="Tahoma"/>
          <w:sz w:val="18"/>
          <w:szCs w:val="18"/>
          <w:lang w:val="uk-UA"/>
        </w:rPr>
        <w:t xml:space="preserve"> </w:t>
      </w:r>
    </w:p>
    <w:p w:rsidR="004F7D2E" w:rsidRP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Мета:</w:t>
      </w:r>
      <w:r w:rsidRPr="00EE2684">
        <w:rPr>
          <w:b/>
          <w:lang w:val="uk-UA"/>
        </w:rPr>
        <w:t xml:space="preserve"> </w:t>
      </w:r>
      <w:r w:rsidRPr="004F7D2E">
        <w:rPr>
          <w:rFonts w:ascii="Tahoma" w:hAnsi="Tahoma" w:cs="Tahoma"/>
          <w:sz w:val="18"/>
          <w:szCs w:val="18"/>
          <w:lang w:val="uk-UA"/>
        </w:rPr>
        <w:t xml:space="preserve">Програми навчання дозволяє забезпечити високий рівень підготовки фахівців, що складають фінансову звітність відповідно до принципів МСФЗ, відповідно до Закону «Про бухгалтерський облік та фінансову звітність в Україні» № 3332-VI. </w:t>
      </w:r>
    </w:p>
    <w:p w:rsidR="004F7D2E" w:rsidRP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Для кого:</w:t>
      </w:r>
      <w:r w:rsidRPr="00EE2684">
        <w:rPr>
          <w:lang w:val="uk-UA"/>
        </w:rPr>
        <w:t xml:space="preserve"> </w:t>
      </w:r>
      <w:r w:rsidRPr="004F7D2E">
        <w:rPr>
          <w:rFonts w:ascii="Tahoma" w:hAnsi="Tahoma" w:cs="Tahoma"/>
          <w:sz w:val="18"/>
          <w:szCs w:val="18"/>
          <w:lang w:val="uk-UA"/>
        </w:rPr>
        <w:t>Згідно Закону, українські підприємства, насамперед публічні акціонерні товариства, банки, страховики, а також підприємства, які здійснюють господарську діяльність за видами, перелік яких визначається Кабінетом Міністрів України, складають та подають фінансову звітність та консолідовану фінансову звітність безпосередньо за Міжнародними Стандартами фінансової Звітності (МСФЗ), тобто за правилами, зрозумілим іноземним інвесторам і партнерам</w:t>
      </w:r>
    </w:p>
    <w:p w:rsid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Доповідачі</w:t>
      </w:r>
      <w:r w:rsidRPr="004F7D2E">
        <w:rPr>
          <w:rFonts w:ascii="Tahoma" w:hAnsi="Tahoma" w:cs="Tahoma"/>
          <w:sz w:val="18"/>
          <w:szCs w:val="18"/>
          <w:lang w:val="uk-UA"/>
        </w:rPr>
        <w:t>:  Представники Національної комісії з цінних паперів та фондового ринку У</w:t>
      </w:r>
      <w:r w:rsidRPr="00EF3316">
        <w:rPr>
          <w:rFonts w:ascii="Tahoma" w:hAnsi="Tahoma" w:cs="Tahoma"/>
          <w:sz w:val="18"/>
          <w:szCs w:val="18"/>
          <w:lang w:val="uk-UA"/>
        </w:rPr>
        <w:t>кра</w:t>
      </w:r>
      <w:r w:rsidRPr="004F7D2E">
        <w:rPr>
          <w:rFonts w:ascii="Tahoma" w:hAnsi="Tahoma" w:cs="Tahoma"/>
          <w:sz w:val="18"/>
          <w:szCs w:val="18"/>
          <w:lang w:val="uk-UA"/>
        </w:rPr>
        <w:t xml:space="preserve">їни </w:t>
      </w:r>
      <w:r w:rsidR="00FD587F" w:rsidRPr="00FD587F">
        <w:rPr>
          <w:rFonts w:ascii="Tahoma" w:hAnsi="Tahoma" w:cs="Tahoma"/>
          <w:sz w:val="18"/>
          <w:szCs w:val="18"/>
          <w:lang w:val="uk-UA"/>
        </w:rPr>
        <w:t> </w:t>
      </w:r>
      <w:r w:rsidR="00EF3316" w:rsidRPr="00EF3316">
        <w:rPr>
          <w:rFonts w:ascii="Tahoma" w:hAnsi="Tahoma" w:cs="Tahoma"/>
          <w:sz w:val="18"/>
          <w:szCs w:val="18"/>
          <w:lang w:val="uk-UA"/>
        </w:rPr>
        <w:t>та фах</w:t>
      </w:r>
      <w:r w:rsidR="00EF3316" w:rsidRPr="007D05C8">
        <w:rPr>
          <w:rFonts w:ascii="Tahoma" w:hAnsi="Tahoma" w:cs="Tahoma"/>
          <w:sz w:val="18"/>
          <w:szCs w:val="18"/>
          <w:lang w:val="uk-UA"/>
        </w:rPr>
        <w:t>і</w:t>
      </w:r>
      <w:r w:rsidR="00EF3316">
        <w:rPr>
          <w:rFonts w:ascii="Tahoma" w:hAnsi="Tahoma" w:cs="Tahoma"/>
          <w:sz w:val="18"/>
          <w:szCs w:val="18"/>
          <w:lang w:val="uk-UA"/>
        </w:rPr>
        <w:t>вц</w:t>
      </w:r>
      <w:r w:rsidR="00EF3316" w:rsidRPr="007D05C8">
        <w:rPr>
          <w:rFonts w:ascii="Tahoma" w:hAnsi="Tahoma" w:cs="Tahoma"/>
          <w:sz w:val="18"/>
          <w:szCs w:val="18"/>
          <w:lang w:val="uk-UA"/>
        </w:rPr>
        <w:t>і</w:t>
      </w:r>
      <w:r w:rsidR="005A3673">
        <w:rPr>
          <w:rFonts w:ascii="Tahoma" w:hAnsi="Tahoma" w:cs="Tahoma"/>
          <w:sz w:val="18"/>
          <w:szCs w:val="18"/>
          <w:lang w:val="uk-UA"/>
        </w:rPr>
        <w:t xml:space="preserve"> Методологічного</w:t>
      </w:r>
      <w:r w:rsidR="00EE2684">
        <w:rPr>
          <w:rFonts w:ascii="Tahoma" w:hAnsi="Tahoma" w:cs="Tahoma"/>
          <w:sz w:val="18"/>
          <w:szCs w:val="18"/>
          <w:lang w:val="uk-UA"/>
        </w:rPr>
        <w:t xml:space="preserve"> центр</w:t>
      </w:r>
      <w:r w:rsidR="005A3673">
        <w:rPr>
          <w:rFonts w:ascii="Tahoma" w:hAnsi="Tahoma" w:cs="Tahoma"/>
          <w:sz w:val="18"/>
          <w:szCs w:val="18"/>
          <w:lang w:val="uk-UA"/>
        </w:rPr>
        <w:t>у</w:t>
      </w:r>
      <w:r w:rsidR="00EE2684">
        <w:rPr>
          <w:rFonts w:ascii="Tahoma" w:hAnsi="Tahoma" w:cs="Tahoma"/>
          <w:sz w:val="18"/>
          <w:szCs w:val="18"/>
          <w:lang w:val="uk-UA"/>
        </w:rPr>
        <w:t xml:space="preserve"> ICFM UK </w:t>
      </w:r>
      <w:proofErr w:type="spellStart"/>
      <w:r w:rsidR="00EE2684">
        <w:rPr>
          <w:rFonts w:ascii="Tahoma" w:hAnsi="Tahoma" w:cs="Tahoma"/>
          <w:sz w:val="18"/>
          <w:szCs w:val="18"/>
          <w:lang w:val="uk-UA"/>
        </w:rPr>
        <w:t>Ukraine</w:t>
      </w:r>
      <w:proofErr w:type="spellEnd"/>
      <w:r w:rsidR="00EF3316">
        <w:rPr>
          <w:rFonts w:ascii="Tahoma" w:hAnsi="Tahoma" w:cs="Tahoma"/>
          <w:sz w:val="18"/>
          <w:szCs w:val="18"/>
          <w:lang w:val="uk-UA"/>
        </w:rPr>
        <w:t>, за участю м</w:t>
      </w:r>
      <w:r w:rsidR="00EF3316" w:rsidRPr="007D05C8">
        <w:rPr>
          <w:rFonts w:ascii="Tahoma" w:hAnsi="Tahoma" w:cs="Tahoma"/>
          <w:sz w:val="18"/>
          <w:szCs w:val="18"/>
          <w:lang w:val="uk-UA"/>
        </w:rPr>
        <w:t>і</w:t>
      </w:r>
      <w:r w:rsidR="00EF3316">
        <w:rPr>
          <w:rFonts w:ascii="Tahoma" w:hAnsi="Tahoma" w:cs="Tahoma"/>
          <w:sz w:val="18"/>
          <w:szCs w:val="18"/>
          <w:lang w:val="uk-UA"/>
        </w:rPr>
        <w:t>жнародних б</w:t>
      </w:r>
      <w:r w:rsidR="00EF3316" w:rsidRPr="007D05C8">
        <w:rPr>
          <w:rFonts w:ascii="Tahoma" w:hAnsi="Tahoma" w:cs="Tahoma"/>
          <w:sz w:val="18"/>
          <w:szCs w:val="18"/>
          <w:lang w:val="uk-UA"/>
        </w:rPr>
        <w:t>і</w:t>
      </w:r>
      <w:r w:rsidR="00EF3316">
        <w:rPr>
          <w:rFonts w:ascii="Tahoma" w:hAnsi="Tahoma" w:cs="Tahoma"/>
          <w:sz w:val="18"/>
          <w:szCs w:val="18"/>
          <w:lang w:val="uk-UA"/>
        </w:rPr>
        <w:t>знес експерт</w:t>
      </w:r>
      <w:r w:rsidR="00EF3316" w:rsidRPr="007D05C8">
        <w:rPr>
          <w:rFonts w:ascii="Tahoma" w:hAnsi="Tahoma" w:cs="Tahoma"/>
          <w:sz w:val="18"/>
          <w:szCs w:val="18"/>
          <w:lang w:val="uk-UA"/>
        </w:rPr>
        <w:t>і</w:t>
      </w:r>
      <w:r w:rsidR="00EF3316">
        <w:rPr>
          <w:rFonts w:ascii="Tahoma" w:hAnsi="Tahoma" w:cs="Tahoma"/>
          <w:sz w:val="18"/>
          <w:szCs w:val="18"/>
          <w:lang w:val="uk-UA"/>
        </w:rPr>
        <w:t>в</w:t>
      </w:r>
      <w:r w:rsidR="00EE2684">
        <w:rPr>
          <w:rFonts w:ascii="Tahoma" w:hAnsi="Tahoma" w:cs="Tahoma"/>
          <w:sz w:val="18"/>
          <w:szCs w:val="18"/>
          <w:lang w:val="uk-UA"/>
        </w:rPr>
        <w:t>.</w:t>
      </w:r>
    </w:p>
    <w:p w:rsidR="00A93D71" w:rsidRDefault="00194920" w:rsidP="000242B6">
      <w:pPr>
        <w:spacing w:after="60"/>
        <w:jc w:val="both"/>
        <w:rPr>
          <w:rFonts w:ascii="Tahoma" w:hAnsi="Tahoma" w:cs="Tahoma"/>
          <w:b/>
          <w:sz w:val="18"/>
          <w:szCs w:val="18"/>
          <w:lang w:val="uk-UA"/>
        </w:rPr>
      </w:pPr>
      <w:r w:rsidRPr="00194920">
        <w:rPr>
          <w:rFonts w:ascii="Tahoma" w:hAnsi="Tahoma" w:cs="Tahoma"/>
          <w:b/>
          <w:sz w:val="18"/>
          <w:szCs w:val="18"/>
          <w:lang w:val="uk-UA"/>
        </w:rPr>
        <w:t>тривалість Семінару</w:t>
      </w:r>
      <w:r w:rsidRPr="004F7D2E">
        <w:rPr>
          <w:noProof/>
          <w:lang w:val="uk-UA" w:eastAsia="uk-UA"/>
        </w:rPr>
        <w:t xml:space="preserve">  </w:t>
      </w:r>
      <w:r w:rsidRPr="00194920">
        <w:rPr>
          <w:rFonts w:ascii="Tahoma" w:hAnsi="Tahoma" w:cs="Tahoma"/>
          <w:b/>
          <w:sz w:val="18"/>
          <w:szCs w:val="18"/>
          <w:lang w:val="uk-UA"/>
        </w:rPr>
        <w:t>2 дня</w:t>
      </w:r>
      <w:r w:rsidR="005D09F8">
        <w:rPr>
          <w:rFonts w:ascii="Tahoma" w:hAnsi="Tahoma" w:cs="Tahoma"/>
          <w:b/>
          <w:sz w:val="18"/>
          <w:szCs w:val="18"/>
          <w:lang w:val="uk-UA"/>
        </w:rPr>
        <w:t xml:space="preserve"> </w:t>
      </w:r>
    </w:p>
    <w:p w:rsidR="005D09F8" w:rsidRPr="005D09F8" w:rsidRDefault="005D09F8" w:rsidP="005D09F8">
      <w:pPr>
        <w:rPr>
          <w:rFonts w:ascii="Tahoma" w:hAnsi="Tahoma" w:cs="Tahoma"/>
          <w:b/>
          <w:sz w:val="18"/>
          <w:szCs w:val="18"/>
          <w:lang w:val="uk-UA"/>
        </w:rPr>
      </w:pPr>
      <w:r>
        <w:rPr>
          <w:rFonts w:ascii="Tahoma" w:hAnsi="Tahoma" w:cs="Tahoma"/>
          <w:b/>
          <w:sz w:val="18"/>
          <w:szCs w:val="18"/>
          <w:lang w:val="uk-UA"/>
        </w:rPr>
        <w:t xml:space="preserve">За адресую: </w:t>
      </w:r>
      <w:r w:rsidRPr="005D09F8">
        <w:rPr>
          <w:rFonts w:ascii="Tahoma" w:hAnsi="Tahoma" w:cs="Tahoma"/>
          <w:sz w:val="18"/>
          <w:szCs w:val="18"/>
          <w:lang w:val="uk-UA"/>
        </w:rPr>
        <w:t xml:space="preserve">м. Київ </w:t>
      </w:r>
      <w:bookmarkStart w:id="0" w:name="_GoBack"/>
      <w:bookmarkEnd w:id="0"/>
    </w:p>
    <w:p w:rsidR="005D09F8" w:rsidRDefault="00EE2684" w:rsidP="000242B6">
      <w:pPr>
        <w:spacing w:after="60"/>
        <w:jc w:val="both"/>
        <w:rPr>
          <w:rFonts w:ascii="Tahoma" w:hAnsi="Tahoma" w:cs="Tahoma"/>
          <w:b/>
          <w:sz w:val="18"/>
          <w:szCs w:val="18"/>
          <w:lang w:val="uk-UA"/>
        </w:rPr>
      </w:pPr>
      <w:r>
        <w:rPr>
          <w:rFonts w:ascii="Tahoma" w:hAnsi="Tahoma" w:cs="Tahoma"/>
          <w:b/>
          <w:sz w:val="18"/>
          <w:szCs w:val="18"/>
          <w:lang w:val="uk-UA"/>
        </w:rPr>
        <w:t xml:space="preserve">          </w:t>
      </w:r>
      <w:r w:rsidR="005204C4" w:rsidRPr="00A93D71">
        <w:rPr>
          <w:rFonts w:ascii="Tahoma" w:hAnsi="Tahoma" w:cs="Tahoma"/>
          <w:b/>
          <w:sz w:val="18"/>
          <w:szCs w:val="18"/>
          <w:lang w:val="uk-UA"/>
        </w:rPr>
        <w:t xml:space="preserve">                                 </w:t>
      </w:r>
      <w:r w:rsidR="00A93D71">
        <w:rPr>
          <w:rFonts w:ascii="Tahoma" w:hAnsi="Tahoma" w:cs="Tahoma"/>
          <w:b/>
          <w:sz w:val="18"/>
          <w:szCs w:val="18"/>
          <w:lang w:val="uk-UA"/>
        </w:rPr>
        <w:t xml:space="preserve">            </w:t>
      </w:r>
    </w:p>
    <w:p w:rsidR="005204C4" w:rsidRDefault="005D09F8" w:rsidP="000242B6">
      <w:pPr>
        <w:spacing w:after="60"/>
        <w:jc w:val="both"/>
        <w:rPr>
          <w:rFonts w:ascii="Tahoma" w:hAnsi="Tahoma" w:cs="Tahoma"/>
          <w:b/>
          <w:sz w:val="18"/>
          <w:szCs w:val="18"/>
          <w:lang w:val="uk-UA"/>
        </w:rPr>
      </w:pPr>
      <w:r>
        <w:rPr>
          <w:rFonts w:ascii="Tahoma" w:hAnsi="Tahoma" w:cs="Tahoma"/>
          <w:b/>
          <w:sz w:val="18"/>
          <w:szCs w:val="18"/>
          <w:lang w:val="uk-UA"/>
        </w:rPr>
        <w:t xml:space="preserve">                                                               </w:t>
      </w:r>
      <w:r w:rsidR="005204C4" w:rsidRPr="00A93D71">
        <w:rPr>
          <w:rFonts w:ascii="Tahoma" w:hAnsi="Tahoma" w:cs="Tahoma"/>
          <w:b/>
          <w:sz w:val="18"/>
          <w:szCs w:val="18"/>
          <w:lang w:val="uk-UA"/>
        </w:rPr>
        <w:t>Зміст Програми семінару</w:t>
      </w:r>
    </w:p>
    <w:p w:rsidR="00C81394" w:rsidRPr="00C81394" w:rsidRDefault="00C81394" w:rsidP="00C81394">
      <w:pPr>
        <w:pStyle w:val="listparagraph"/>
        <w:spacing w:after="60"/>
        <w:ind w:left="0"/>
        <w:jc w:val="both"/>
        <w:rPr>
          <w:rFonts w:ascii="Tahoma" w:eastAsia="Times New Roman" w:hAnsi="Tahoma" w:cs="Tahoma"/>
          <w:b/>
          <w:sz w:val="18"/>
          <w:szCs w:val="18"/>
          <w:lang w:eastAsia="ru-RU"/>
        </w:rPr>
      </w:pPr>
      <w:r w:rsidRPr="00C81394">
        <w:rPr>
          <w:rFonts w:ascii="Tahoma" w:eastAsia="Times New Roman" w:hAnsi="Tahoma" w:cs="Tahoma"/>
          <w:b/>
          <w:sz w:val="18"/>
          <w:szCs w:val="18"/>
          <w:lang w:eastAsia="ru-RU"/>
        </w:rPr>
        <w:t xml:space="preserve">Вимоги до складання та подання фінансової звітності відповідно до Закону «Про бухгалтерський облік та фінансову звітність в </w:t>
      </w:r>
      <w:proofErr w:type="spellStart"/>
      <w:r w:rsidRPr="00C81394">
        <w:rPr>
          <w:rFonts w:ascii="Tahoma" w:eastAsia="Times New Roman" w:hAnsi="Tahoma" w:cs="Tahoma"/>
          <w:b/>
          <w:sz w:val="18"/>
          <w:szCs w:val="18"/>
          <w:lang w:eastAsia="ru-RU"/>
        </w:rPr>
        <w:t>Україні».Вимоги</w:t>
      </w:r>
      <w:proofErr w:type="spellEnd"/>
      <w:r w:rsidRPr="00C81394">
        <w:rPr>
          <w:rFonts w:ascii="Tahoma" w:eastAsia="Times New Roman" w:hAnsi="Tahoma" w:cs="Tahoma"/>
          <w:b/>
          <w:sz w:val="18"/>
          <w:szCs w:val="18"/>
          <w:lang w:eastAsia="ru-RU"/>
        </w:rPr>
        <w:t xml:space="preserve"> Національної комісії з цінних паперів та фондового ринку України</w:t>
      </w:r>
      <w:r w:rsidRPr="00C81394">
        <w:rPr>
          <w:rFonts w:ascii="Tahoma" w:eastAsia="Times New Roman" w:hAnsi="Tahoma" w:cs="Tahoma"/>
          <w:sz w:val="18"/>
          <w:szCs w:val="18"/>
          <w:lang w:eastAsia="ru-RU"/>
        </w:rPr>
        <w:t xml:space="preserve"> (доповідач - представник від НКЦПФР).</w:t>
      </w:r>
    </w:p>
    <w:p w:rsidR="00C81394" w:rsidRPr="00A93D71" w:rsidRDefault="00C81394" w:rsidP="000242B6">
      <w:pPr>
        <w:spacing w:after="60"/>
        <w:jc w:val="both"/>
        <w:rPr>
          <w:rFonts w:ascii="Tahoma" w:hAnsi="Tahoma" w:cs="Tahoma"/>
          <w:b/>
          <w:sz w:val="18"/>
          <w:szCs w:val="18"/>
          <w:lang w:val="uk-UA"/>
        </w:rPr>
      </w:pPr>
    </w:p>
    <w:p w:rsidR="0030476D" w:rsidRDefault="0030476D" w:rsidP="004F7D2E">
      <w:pPr>
        <w:spacing w:after="60"/>
        <w:rPr>
          <w:rFonts w:ascii="Tahoma" w:hAnsi="Tahoma" w:cs="Tahoma"/>
          <w:b/>
          <w:sz w:val="18"/>
          <w:szCs w:val="18"/>
          <w:u w:val="single"/>
          <w:lang w:val="uk-UA"/>
        </w:rPr>
      </w:pPr>
      <w:r w:rsidRPr="00194920">
        <w:rPr>
          <w:rFonts w:ascii="Tahoma" w:hAnsi="Tahoma" w:cs="Tahoma"/>
          <w:b/>
          <w:sz w:val="18"/>
          <w:szCs w:val="18"/>
          <w:u w:val="single"/>
          <w:lang w:val="uk-UA"/>
        </w:rPr>
        <w:t>День 1</w:t>
      </w:r>
    </w:p>
    <w:p w:rsidR="00C81394" w:rsidRPr="00C81394" w:rsidRDefault="00C81394" w:rsidP="00C81394">
      <w:pPr>
        <w:pStyle w:val="listparagraph"/>
        <w:numPr>
          <w:ilvl w:val="0"/>
          <w:numId w:val="6"/>
        </w:numPr>
        <w:spacing w:after="60"/>
        <w:jc w:val="both"/>
        <w:rPr>
          <w:rFonts w:ascii="Tahoma" w:hAnsi="Tahoma" w:cs="Tahoma"/>
        </w:rPr>
      </w:pPr>
      <w:r w:rsidRPr="00C81394">
        <w:rPr>
          <w:rFonts w:ascii="Tahoma" w:eastAsia="Times New Roman" w:hAnsi="Tahoma" w:cs="Tahoma"/>
          <w:b/>
          <w:sz w:val="18"/>
          <w:szCs w:val="18"/>
          <w:lang w:eastAsia="ru-RU"/>
        </w:rPr>
        <w:t>Основні положення, вимоги та практика застосування МСБО та МСФЗ</w:t>
      </w:r>
      <w:r>
        <w:rPr>
          <w:rFonts w:ascii="Tahoma" w:eastAsia="Times New Roman" w:hAnsi="Tahoma" w:cs="Tahoma"/>
          <w:b/>
          <w:sz w:val="18"/>
          <w:szCs w:val="18"/>
          <w:lang w:eastAsia="ru-RU"/>
        </w:rPr>
        <w:t>.</w:t>
      </w:r>
      <w:r w:rsidRPr="00C81394">
        <w:rPr>
          <w:rFonts w:ascii="Tahoma" w:eastAsia="Times New Roman" w:hAnsi="Tahoma" w:cs="Tahoma"/>
          <w:sz w:val="18"/>
          <w:szCs w:val="18"/>
          <w:lang w:eastAsia="ru-RU"/>
        </w:rPr>
        <w:t xml:space="preserve"> (</w:t>
      </w:r>
      <w:r>
        <w:rPr>
          <w:rFonts w:ascii="Tahoma" w:eastAsia="Times New Roman" w:hAnsi="Tahoma" w:cs="Tahoma"/>
          <w:b/>
          <w:sz w:val="18"/>
          <w:szCs w:val="18"/>
          <w:lang w:eastAsia="ru-RU"/>
        </w:rPr>
        <w:t xml:space="preserve"> </w:t>
      </w:r>
      <w:r w:rsidRPr="00C81394">
        <w:rPr>
          <w:rFonts w:ascii="Tahoma" w:hAnsi="Tahoma" w:cs="Tahoma"/>
          <w:sz w:val="18"/>
          <w:szCs w:val="18"/>
        </w:rPr>
        <w:t>Представники  бізнес / консультанти, експерти ІСФМ UK</w:t>
      </w:r>
      <w:r>
        <w:rPr>
          <w:rFonts w:ascii="Tahoma" w:hAnsi="Tahoma" w:cs="Tahoma"/>
          <w:sz w:val="18"/>
          <w:szCs w:val="18"/>
        </w:rPr>
        <w:t>)</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5 «Непоточні активи, утримувані для продажу та припинена діяльність»</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7 «Фінансові інструменти: розкриття інформації»</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8 «Операційні сегменти»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9 «Фінансові інструменти»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13 «Оцінка справедливої вартості»</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10 «Події після звітного періоду»</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17 «Оренда»</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18 «Дохід»</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19 «Виплати працівникам»</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23 «Витрати на позики»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24 «Розкриття інформації про пов’язані сторони»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32 «Фінансові інструменти: подання»</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33 «Прибуток на акцію»</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36 «Зменшення корисності активів»</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37 «Забезпечення, умовні зобов’язання та умовні активи»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 xml:space="preserve">МСБО 39 «Фінансові інструменти: визнання та оцінка» </w:t>
      </w:r>
      <w:r>
        <w:rPr>
          <w:rFonts w:ascii="Tahoma" w:hAnsi="Tahoma" w:cs="Tahoma"/>
          <w:sz w:val="18"/>
          <w:szCs w:val="18"/>
          <w:lang w:val="uk-UA"/>
        </w:rPr>
        <w:t xml:space="preserve">             </w:t>
      </w:r>
      <w:r w:rsidRPr="00C81394">
        <w:rPr>
          <w:rFonts w:ascii="Tahoma" w:hAnsi="Tahoma" w:cs="Tahoma"/>
          <w:sz w:val="18"/>
          <w:szCs w:val="18"/>
          <w:lang w:val="uk-UA"/>
        </w:rPr>
        <w:t>Відповіді на запитання</w:t>
      </w:r>
    </w:p>
    <w:p w:rsidR="00194920" w:rsidRPr="00E82D04" w:rsidRDefault="00194920" w:rsidP="00194920">
      <w:pPr>
        <w:spacing w:after="60"/>
        <w:jc w:val="both"/>
        <w:rPr>
          <w:rFonts w:ascii="Tahoma" w:hAnsi="Tahoma" w:cs="Tahoma"/>
          <w:b/>
          <w:sz w:val="18"/>
          <w:szCs w:val="18"/>
          <w:lang w:val="uk-UA"/>
        </w:rPr>
      </w:pPr>
      <w:r>
        <w:rPr>
          <w:rFonts w:ascii="Tahoma" w:hAnsi="Tahoma" w:cs="Tahoma"/>
          <w:sz w:val="18"/>
          <w:szCs w:val="18"/>
          <w:lang w:val="uk-UA"/>
        </w:rPr>
        <w:t xml:space="preserve">       </w:t>
      </w:r>
    </w:p>
    <w:p w:rsidR="0030476D" w:rsidRDefault="0030476D" w:rsidP="00194920">
      <w:pPr>
        <w:spacing w:after="60"/>
        <w:jc w:val="both"/>
        <w:rPr>
          <w:rFonts w:ascii="Tahoma" w:hAnsi="Tahoma" w:cs="Tahoma"/>
          <w:b/>
          <w:sz w:val="18"/>
          <w:szCs w:val="18"/>
          <w:lang w:val="uk-UA"/>
        </w:rPr>
      </w:pPr>
      <w:r w:rsidRPr="00194920">
        <w:rPr>
          <w:rFonts w:ascii="Tahoma" w:hAnsi="Tahoma" w:cs="Tahoma"/>
          <w:b/>
          <w:sz w:val="18"/>
          <w:szCs w:val="18"/>
          <w:u w:val="single"/>
          <w:lang w:val="uk-UA"/>
        </w:rPr>
        <w:t>День 2</w:t>
      </w:r>
      <w:r w:rsidR="00EE2684">
        <w:rPr>
          <w:rFonts w:ascii="Tahoma" w:hAnsi="Tahoma" w:cs="Tahoma"/>
          <w:b/>
          <w:sz w:val="18"/>
          <w:szCs w:val="18"/>
          <w:u w:val="single"/>
          <w:lang w:val="uk-UA"/>
        </w:rPr>
        <w:t xml:space="preserve">  </w:t>
      </w:r>
      <w:r w:rsidR="00EE2684" w:rsidRPr="00EE2684">
        <w:rPr>
          <w:rFonts w:ascii="Tahoma" w:hAnsi="Tahoma" w:cs="Tahoma"/>
          <w:b/>
          <w:sz w:val="18"/>
          <w:szCs w:val="18"/>
          <w:lang w:val="uk-UA"/>
        </w:rPr>
        <w:t xml:space="preserve">  </w:t>
      </w:r>
      <w:r w:rsidR="00EE2684">
        <w:rPr>
          <w:rFonts w:ascii="Tahoma" w:hAnsi="Tahoma" w:cs="Tahoma"/>
          <w:sz w:val="18"/>
          <w:szCs w:val="18"/>
          <w:lang w:val="uk-UA"/>
        </w:rPr>
        <w:t xml:space="preserve">  </w:t>
      </w:r>
      <w:r w:rsidR="00EE2684" w:rsidRPr="00194920">
        <w:rPr>
          <w:rFonts w:ascii="Tahoma" w:hAnsi="Tahoma" w:cs="Tahoma"/>
          <w:b/>
          <w:sz w:val="18"/>
          <w:szCs w:val="18"/>
          <w:lang w:val="uk-UA"/>
        </w:rPr>
        <w:t>Представники  бізнес / консультанти, експерти ІСФМ UK</w:t>
      </w:r>
    </w:p>
    <w:p w:rsidR="00C81394" w:rsidRPr="00C81394" w:rsidRDefault="00C81394" w:rsidP="00C81394">
      <w:pPr>
        <w:pStyle w:val="listparagraph"/>
        <w:numPr>
          <w:ilvl w:val="0"/>
          <w:numId w:val="6"/>
        </w:numPr>
        <w:spacing w:after="60"/>
        <w:jc w:val="both"/>
        <w:rPr>
          <w:rFonts w:ascii="Tahoma" w:eastAsia="Times New Roman" w:hAnsi="Tahoma" w:cs="Tahoma"/>
          <w:sz w:val="18"/>
          <w:szCs w:val="18"/>
          <w:lang w:eastAsia="ru-RU"/>
        </w:rPr>
      </w:pPr>
      <w:r w:rsidRPr="00C81394">
        <w:rPr>
          <w:rFonts w:ascii="Tahoma" w:eastAsia="Times New Roman" w:hAnsi="Tahoma" w:cs="Tahoma"/>
          <w:b/>
          <w:sz w:val="18"/>
          <w:szCs w:val="18"/>
          <w:lang w:eastAsia="ru-RU"/>
        </w:rPr>
        <w:t>Практичні аспекти формування фінансової звітності за МСФЗ</w:t>
      </w:r>
    </w:p>
    <w:p w:rsidR="00C81394" w:rsidRPr="00C81394" w:rsidRDefault="00C81394" w:rsidP="00C81394">
      <w:pPr>
        <w:pStyle w:val="listparagraph"/>
        <w:spacing w:after="60"/>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Коригування фінансової звітності при підготовці річного звіту. Особливості коригувань щодо окремих об’єктів обліку.</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інвентаризація. Основні положення та вимоги.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Формат та повний комплект фінансової звітності за МСФЗ. МСБО 1 «Подання фінансової звітності». Основні вимоги. Співвідношення вимог МСБО і національного законодавства щодо подання фінансової звітності.</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фінансовий стан. Структура, зміст, склад обов’язкових статей.</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Звіт про прибутки та збитки та інший сукупний дохід. Структура та зміст. Класифікація іншого сукупного доходу за можливістю </w:t>
      </w:r>
      <w:proofErr w:type="spellStart"/>
      <w:r w:rsidRPr="00C81394">
        <w:rPr>
          <w:rFonts w:ascii="Tahoma" w:eastAsia="Times New Roman" w:hAnsi="Tahoma" w:cs="Tahoma"/>
          <w:sz w:val="18"/>
          <w:szCs w:val="18"/>
          <w:lang w:eastAsia="ru-RU"/>
        </w:rPr>
        <w:t>рекласифікації</w:t>
      </w:r>
      <w:proofErr w:type="spellEnd"/>
      <w:r w:rsidRPr="00C81394">
        <w:rPr>
          <w:rFonts w:ascii="Tahoma" w:eastAsia="Times New Roman" w:hAnsi="Tahoma" w:cs="Tahoma"/>
          <w:sz w:val="18"/>
          <w:szCs w:val="18"/>
          <w:lang w:eastAsia="ru-RU"/>
        </w:rPr>
        <w:t xml:space="preserve"> у прибутки/збитки.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зміни у власному капіталі. Обов’язкові статті звіту.</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рух грошових коштів. Склад грошових потоків.</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Примітки. Вимоги до подання. Структура. Звіт керівництва.</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Затвердження річної звітності. Основні дати.</w:t>
      </w:r>
    </w:p>
    <w:p w:rsidR="00C81394" w:rsidRPr="00C81394" w:rsidRDefault="00C81394" w:rsidP="00C81394">
      <w:pPr>
        <w:pStyle w:val="listparagraph"/>
        <w:numPr>
          <w:ilvl w:val="0"/>
          <w:numId w:val="6"/>
        </w:numPr>
        <w:spacing w:after="60"/>
        <w:jc w:val="both"/>
        <w:rPr>
          <w:rFonts w:ascii="Tahoma" w:eastAsia="Times New Roman" w:hAnsi="Tahoma" w:cs="Tahoma"/>
          <w:b/>
          <w:sz w:val="18"/>
          <w:szCs w:val="18"/>
          <w:lang w:eastAsia="ru-RU"/>
        </w:rPr>
      </w:pPr>
      <w:r w:rsidRPr="00C81394">
        <w:rPr>
          <w:rFonts w:ascii="Tahoma" w:eastAsia="Times New Roman" w:hAnsi="Tahoma" w:cs="Tahoma"/>
          <w:b/>
          <w:sz w:val="18"/>
          <w:szCs w:val="18"/>
          <w:lang w:eastAsia="ru-RU"/>
        </w:rPr>
        <w:t>Актуальні зміни в стандартах МСБО та МСФЗ, які потрібно врахувати у фінансовій звітності за 2016 рік</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11 змін, які потрібно врахувати у звітності за 2016 рік</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(IAS) 1 «Подання фінансової звітності»</w:t>
      </w:r>
    </w:p>
    <w:p w:rsidR="00C81394" w:rsidRPr="00C81394" w:rsidRDefault="00C81394" w:rsidP="00C81394">
      <w:pPr>
        <w:pStyle w:val="listparagraph"/>
        <w:jc w:val="both"/>
        <w:rPr>
          <w:rFonts w:ascii="Tahoma" w:eastAsia="Times New Roman" w:hAnsi="Tahoma" w:cs="Tahoma"/>
          <w:sz w:val="18"/>
          <w:szCs w:val="18"/>
          <w:lang w:eastAsia="ru-RU"/>
        </w:rPr>
      </w:pPr>
      <w:r w:rsidRPr="00E82D04">
        <w:rPr>
          <w:b/>
          <w:noProof/>
          <w:sz w:val="16"/>
          <w:szCs w:val="16"/>
        </w:rPr>
        <w:drawing>
          <wp:anchor distT="0" distB="0" distL="114300" distR="114300" simplePos="0" relativeHeight="251662336" behindDoc="1" locked="0" layoutInCell="1" allowOverlap="1" wp14:anchorId="7DF85AAE" wp14:editId="3BBBB35B">
            <wp:simplePos x="0" y="0"/>
            <wp:positionH relativeFrom="column">
              <wp:posOffset>5200015</wp:posOffset>
            </wp:positionH>
            <wp:positionV relativeFrom="paragraph">
              <wp:posOffset>-226695</wp:posOffset>
            </wp:positionV>
            <wp:extent cx="887730" cy="827405"/>
            <wp:effectExtent l="0" t="0" r="7620" b="0"/>
            <wp:wrapTight wrapText="bothSides">
              <wp:wrapPolygon edited="0">
                <wp:start x="0" y="0"/>
                <wp:lineTo x="0" y="20887"/>
                <wp:lineTo x="21322" y="20887"/>
                <wp:lineTo x="21322" y="0"/>
                <wp:lineTo x="0" y="0"/>
              </wp:wrapPolygon>
            </wp:wrapTight>
            <wp:docPr id="3" name="Рисунок 3" descr="http://im5-tub.yandex.net/i?id=535717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yandex.net/i?id=53571713-0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77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394">
        <w:rPr>
          <w:rFonts w:ascii="Tahoma" w:eastAsia="Times New Roman" w:hAnsi="Tahoma" w:cs="Tahoma"/>
          <w:sz w:val="18"/>
          <w:szCs w:val="18"/>
          <w:lang w:eastAsia="ru-RU"/>
        </w:rPr>
        <w:t>МСБО (IАS) 16 «Основні засоби»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lastRenderedPageBreak/>
        <w:t>МСБО (IАS) 19 «Виплати працівникам»</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27 «Окрема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28 «Інвестиції в асоційовані організації та спільні підприємства»</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34«Проміжна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38 «Нематеріальні активи»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38 «Нематеріальні активи»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41 «Сільське господарство»</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5 «Непоточні активи, утримувані для продажу, та припинена діяльність»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7 «Фінансові інструменти: розкриття інформації»</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10 «Консолідована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11 «Спільна діяльність»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МСФЗ (IFRS) 14 «Рахунки відкладених тарифних різниць» </w:t>
      </w:r>
    </w:p>
    <w:p w:rsidR="00752CFE" w:rsidRPr="00C81394" w:rsidRDefault="00C81394" w:rsidP="00C81394">
      <w:pPr>
        <w:pStyle w:val="listparagraph"/>
        <w:spacing w:after="60"/>
        <w:ind w:left="0"/>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Відповіді на питання.  </w:t>
      </w:r>
      <w:r w:rsidR="006E1C79" w:rsidRPr="00C81394">
        <w:rPr>
          <w:rFonts w:ascii="Tahoma" w:hAnsi="Tahoma" w:cs="Tahoma"/>
          <w:i/>
          <w:sz w:val="18"/>
          <w:szCs w:val="18"/>
        </w:rPr>
        <w:t xml:space="preserve">  </w:t>
      </w:r>
      <w:r w:rsidR="00EE2684" w:rsidRPr="00C81394">
        <w:rPr>
          <w:rFonts w:ascii="Tahoma" w:hAnsi="Tahoma" w:cs="Tahoma"/>
          <w:i/>
          <w:sz w:val="18"/>
          <w:szCs w:val="18"/>
        </w:rPr>
        <w:t xml:space="preserve">               </w:t>
      </w:r>
    </w:p>
    <w:p w:rsidR="00194920" w:rsidRPr="00E82D04" w:rsidRDefault="00194920" w:rsidP="00194920">
      <w:pPr>
        <w:rPr>
          <w:rFonts w:ascii="Tahoma" w:hAnsi="Tahoma" w:cs="Tahoma"/>
          <w:b/>
          <w:sz w:val="16"/>
          <w:szCs w:val="16"/>
          <w:lang w:val="uk-UA"/>
        </w:rPr>
      </w:pPr>
      <w:r w:rsidRPr="00E82D04">
        <w:rPr>
          <w:rFonts w:ascii="Tahoma" w:hAnsi="Tahoma" w:cs="Tahoma"/>
          <w:b/>
          <w:sz w:val="16"/>
          <w:szCs w:val="16"/>
          <w:lang w:val="uk-UA"/>
        </w:rPr>
        <w:t>Регламент проведення Семінару - 2 дні</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09.30 - 10.00 реєстрація учасників семінару</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10.00 - 12.00 робота семінару</w:t>
      </w:r>
      <w:r w:rsidR="00EE2684">
        <w:rPr>
          <w:rFonts w:ascii="Tahoma" w:hAnsi="Tahoma" w:cs="Tahoma"/>
          <w:sz w:val="16"/>
          <w:szCs w:val="16"/>
          <w:lang w:val="uk-UA"/>
        </w:rPr>
        <w:t xml:space="preserve">        </w:t>
      </w:r>
      <w:r w:rsidR="00C81394">
        <w:rPr>
          <w:rFonts w:ascii="Tahoma" w:hAnsi="Tahoma" w:cs="Tahoma"/>
          <w:sz w:val="16"/>
          <w:szCs w:val="16"/>
          <w:lang w:val="uk-UA"/>
        </w:rPr>
        <w:t>о 14.00 - 14.3</w:t>
      </w:r>
      <w:r w:rsidRPr="00752CFE">
        <w:rPr>
          <w:rFonts w:ascii="Tahoma" w:hAnsi="Tahoma" w:cs="Tahoma"/>
          <w:sz w:val="16"/>
          <w:szCs w:val="16"/>
          <w:lang w:val="uk-UA"/>
        </w:rPr>
        <w:t>0 перерва на обід</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13. 00 - 16.00 робота семінару</w:t>
      </w:r>
    </w:p>
    <w:p w:rsidR="00A93D71" w:rsidRPr="00752CFE" w:rsidRDefault="00194920" w:rsidP="00194920">
      <w:pPr>
        <w:rPr>
          <w:rFonts w:ascii="Tahoma" w:hAnsi="Tahoma" w:cs="Tahoma"/>
          <w:sz w:val="16"/>
          <w:szCs w:val="16"/>
          <w:lang w:val="uk-UA"/>
        </w:rPr>
      </w:pPr>
      <w:r w:rsidRPr="00752CFE">
        <w:rPr>
          <w:rFonts w:ascii="Tahoma" w:hAnsi="Tahoma" w:cs="Tahoma"/>
          <w:sz w:val="16"/>
          <w:szCs w:val="16"/>
          <w:lang w:val="uk-UA"/>
        </w:rPr>
        <w:t>з 16.00 - 16.30 обмін думками, відповіді на питання</w:t>
      </w:r>
    </w:p>
    <w:p w:rsidR="00D632BB" w:rsidRPr="00752CFE" w:rsidRDefault="00A93D71" w:rsidP="00E82D04">
      <w:pPr>
        <w:widowControl w:val="0"/>
        <w:spacing w:after="60"/>
        <w:rPr>
          <w:rFonts w:ascii="Tahoma" w:hAnsi="Tahoma" w:cs="Tahoma"/>
          <w:sz w:val="16"/>
          <w:szCs w:val="16"/>
          <w:lang w:val="uk-UA"/>
        </w:rPr>
      </w:pPr>
      <w:r w:rsidRPr="00752CFE">
        <w:rPr>
          <w:rFonts w:ascii="Tahoma" w:hAnsi="Tahoma" w:cs="Tahoma"/>
          <w:b/>
          <w:sz w:val="16"/>
          <w:szCs w:val="16"/>
          <w:lang w:val="uk-UA"/>
        </w:rPr>
        <w:t>Учасники семінару отримають</w:t>
      </w:r>
      <w:r w:rsidR="00E82D04" w:rsidRPr="00752CFE">
        <w:rPr>
          <w:rFonts w:ascii="Tahoma" w:hAnsi="Tahoma" w:cs="Tahoma"/>
          <w:sz w:val="16"/>
          <w:szCs w:val="16"/>
          <w:lang w:val="uk-UA"/>
        </w:rPr>
        <w:t xml:space="preserve">: участь і консультації під час проведення семінару, портфель / канцтовари для учасника, участь у семінарі, сертифікат учасника, матеріали учасника, практичні кейси, кава - </w:t>
      </w:r>
      <w:proofErr w:type="spellStart"/>
      <w:r w:rsidR="00E82D04" w:rsidRPr="00752CFE">
        <w:rPr>
          <w:rFonts w:ascii="Tahoma" w:hAnsi="Tahoma" w:cs="Tahoma"/>
          <w:sz w:val="16"/>
          <w:szCs w:val="16"/>
          <w:lang w:val="uk-UA"/>
        </w:rPr>
        <w:t>брейк</w:t>
      </w:r>
      <w:proofErr w:type="spellEnd"/>
      <w:r w:rsidR="00E82D04" w:rsidRPr="00752CFE">
        <w:rPr>
          <w:rFonts w:ascii="Tahoma" w:hAnsi="Tahoma" w:cs="Tahoma"/>
          <w:sz w:val="16"/>
          <w:szCs w:val="16"/>
          <w:lang w:val="uk-UA"/>
        </w:rPr>
        <w:t xml:space="preserve">, обід,  пакет методичних та інформаційних матеріалів, </w:t>
      </w:r>
      <w:r w:rsidR="00E82D04" w:rsidRPr="00752CFE">
        <w:rPr>
          <w:rFonts w:ascii="Tahoma" w:hAnsi="Tahoma" w:cs="Tahoma"/>
          <w:sz w:val="16"/>
          <w:szCs w:val="16"/>
          <w:lang w:val="en-US"/>
        </w:rPr>
        <w:t>CD</w:t>
      </w:r>
      <w:r w:rsidR="00E82D04" w:rsidRPr="00752CFE">
        <w:rPr>
          <w:rFonts w:ascii="Tahoma" w:hAnsi="Tahoma" w:cs="Tahoma"/>
          <w:sz w:val="16"/>
          <w:szCs w:val="16"/>
          <w:lang w:val="uk-UA"/>
        </w:rPr>
        <w:t>.</w:t>
      </w:r>
    </w:p>
    <w:sectPr w:rsidR="00D632BB" w:rsidRPr="0075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A7F"/>
    <w:multiLevelType w:val="hybridMultilevel"/>
    <w:tmpl w:val="1C10FA10"/>
    <w:lvl w:ilvl="0" w:tplc="139A41FE">
      <w:start w:val="2"/>
      <w:numFmt w:val="decimal"/>
      <w:lvlText w:val="%1"/>
      <w:lvlJc w:val="left"/>
      <w:pPr>
        <w:ind w:left="720" w:hanging="360"/>
      </w:pPr>
      <w:rPr>
        <w:rFonts w:eastAsia="Times New Roman" w:hint="default"/>
        <w:b/>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1731B"/>
    <w:multiLevelType w:val="hybridMultilevel"/>
    <w:tmpl w:val="36F014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1E706B3F"/>
    <w:multiLevelType w:val="hybridMultilevel"/>
    <w:tmpl w:val="D1040C2E"/>
    <w:lvl w:ilvl="0" w:tplc="CF2EB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96B05"/>
    <w:multiLevelType w:val="hybridMultilevel"/>
    <w:tmpl w:val="BB809096"/>
    <w:lvl w:ilvl="0" w:tplc="1160F8EA">
      <w:start w:val="1"/>
      <w:numFmt w:val="decimal"/>
      <w:lvlText w:val="%1."/>
      <w:lvlJc w:val="left"/>
      <w:pPr>
        <w:ind w:left="1080" w:hanging="360"/>
      </w:pPr>
      <w:rPr>
        <w:rFonts w:eastAsia="Times New Roman" w:hint="default"/>
        <w:b/>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603064A"/>
    <w:multiLevelType w:val="hybridMultilevel"/>
    <w:tmpl w:val="D1040C2E"/>
    <w:lvl w:ilvl="0" w:tplc="CF2EB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48"/>
    <w:rsid w:val="000242B6"/>
    <w:rsid w:val="00126F7A"/>
    <w:rsid w:val="00194920"/>
    <w:rsid w:val="001C4A48"/>
    <w:rsid w:val="0020017C"/>
    <w:rsid w:val="0030476D"/>
    <w:rsid w:val="0042478E"/>
    <w:rsid w:val="004F7D2E"/>
    <w:rsid w:val="005204C4"/>
    <w:rsid w:val="0055113F"/>
    <w:rsid w:val="005A3673"/>
    <w:rsid w:val="005D09F8"/>
    <w:rsid w:val="006E1C79"/>
    <w:rsid w:val="0072747F"/>
    <w:rsid w:val="00752CFE"/>
    <w:rsid w:val="007C6D34"/>
    <w:rsid w:val="007D05C8"/>
    <w:rsid w:val="00A93D71"/>
    <w:rsid w:val="00C81394"/>
    <w:rsid w:val="00D632BB"/>
    <w:rsid w:val="00E82D04"/>
    <w:rsid w:val="00EE2684"/>
    <w:rsid w:val="00EF3316"/>
    <w:rsid w:val="00FD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242B6"/>
    <w:rPr>
      <w:sz w:val="18"/>
      <w:szCs w:val="18"/>
    </w:rPr>
  </w:style>
  <w:style w:type="paragraph" w:styleId="a4">
    <w:name w:val="annotation text"/>
    <w:basedOn w:val="a"/>
    <w:link w:val="a5"/>
    <w:rsid w:val="000242B6"/>
  </w:style>
  <w:style w:type="character" w:customStyle="1" w:styleId="a5">
    <w:name w:val="Текст примечания Знак"/>
    <w:basedOn w:val="a0"/>
    <w:link w:val="a4"/>
    <w:rsid w:val="000242B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2B6"/>
    <w:rPr>
      <w:rFonts w:ascii="Segoe UI" w:hAnsi="Segoe UI" w:cs="Segoe UI"/>
      <w:sz w:val="18"/>
      <w:szCs w:val="18"/>
    </w:rPr>
  </w:style>
  <w:style w:type="character" w:customStyle="1" w:styleId="a7">
    <w:name w:val="Текст выноски Знак"/>
    <w:basedOn w:val="a0"/>
    <w:link w:val="a6"/>
    <w:uiPriority w:val="99"/>
    <w:semiHidden/>
    <w:rsid w:val="000242B6"/>
    <w:rPr>
      <w:rFonts w:ascii="Segoe UI" w:eastAsia="Times New Roman" w:hAnsi="Segoe UI" w:cs="Segoe UI"/>
      <w:sz w:val="18"/>
      <w:szCs w:val="18"/>
      <w:lang w:eastAsia="ru-RU"/>
    </w:rPr>
  </w:style>
  <w:style w:type="paragraph" w:styleId="a8">
    <w:name w:val="List Paragraph"/>
    <w:basedOn w:val="a"/>
    <w:uiPriority w:val="34"/>
    <w:qFormat/>
    <w:rsid w:val="00126F7A"/>
    <w:pPr>
      <w:ind w:left="720"/>
      <w:contextualSpacing/>
    </w:pPr>
  </w:style>
  <w:style w:type="paragraph" w:customStyle="1" w:styleId="listparagraph">
    <w:name w:val="listparagraph"/>
    <w:basedOn w:val="a"/>
    <w:rsid w:val="00C81394"/>
    <w:pPr>
      <w:ind w:left="720"/>
    </w:pPr>
    <w:rPr>
      <w:rFonts w:eastAsiaTheme="minorHAnsi"/>
      <w:lang w:val="uk-UA" w:eastAsia="uk-UA"/>
    </w:rPr>
  </w:style>
  <w:style w:type="character" w:customStyle="1" w:styleId="apple-converted-space">
    <w:name w:val="apple-converted-space"/>
    <w:basedOn w:val="a0"/>
    <w:rsid w:val="007D05C8"/>
  </w:style>
  <w:style w:type="character" w:styleId="a9">
    <w:name w:val="Hyperlink"/>
    <w:basedOn w:val="a0"/>
    <w:uiPriority w:val="99"/>
    <w:semiHidden/>
    <w:unhideWhenUsed/>
    <w:rsid w:val="007D0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242B6"/>
    <w:rPr>
      <w:sz w:val="18"/>
      <w:szCs w:val="18"/>
    </w:rPr>
  </w:style>
  <w:style w:type="paragraph" w:styleId="a4">
    <w:name w:val="annotation text"/>
    <w:basedOn w:val="a"/>
    <w:link w:val="a5"/>
    <w:rsid w:val="000242B6"/>
  </w:style>
  <w:style w:type="character" w:customStyle="1" w:styleId="a5">
    <w:name w:val="Текст примечания Знак"/>
    <w:basedOn w:val="a0"/>
    <w:link w:val="a4"/>
    <w:rsid w:val="000242B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2B6"/>
    <w:rPr>
      <w:rFonts w:ascii="Segoe UI" w:hAnsi="Segoe UI" w:cs="Segoe UI"/>
      <w:sz w:val="18"/>
      <w:szCs w:val="18"/>
    </w:rPr>
  </w:style>
  <w:style w:type="character" w:customStyle="1" w:styleId="a7">
    <w:name w:val="Текст выноски Знак"/>
    <w:basedOn w:val="a0"/>
    <w:link w:val="a6"/>
    <w:uiPriority w:val="99"/>
    <w:semiHidden/>
    <w:rsid w:val="000242B6"/>
    <w:rPr>
      <w:rFonts w:ascii="Segoe UI" w:eastAsia="Times New Roman" w:hAnsi="Segoe UI" w:cs="Segoe UI"/>
      <w:sz w:val="18"/>
      <w:szCs w:val="18"/>
      <w:lang w:eastAsia="ru-RU"/>
    </w:rPr>
  </w:style>
  <w:style w:type="paragraph" w:styleId="a8">
    <w:name w:val="List Paragraph"/>
    <w:basedOn w:val="a"/>
    <w:uiPriority w:val="34"/>
    <w:qFormat/>
    <w:rsid w:val="00126F7A"/>
    <w:pPr>
      <w:ind w:left="720"/>
      <w:contextualSpacing/>
    </w:pPr>
  </w:style>
  <w:style w:type="paragraph" w:customStyle="1" w:styleId="listparagraph">
    <w:name w:val="listparagraph"/>
    <w:basedOn w:val="a"/>
    <w:rsid w:val="00C81394"/>
    <w:pPr>
      <w:ind w:left="720"/>
    </w:pPr>
    <w:rPr>
      <w:rFonts w:eastAsiaTheme="minorHAnsi"/>
      <w:lang w:val="uk-UA" w:eastAsia="uk-UA"/>
    </w:rPr>
  </w:style>
  <w:style w:type="character" w:customStyle="1" w:styleId="apple-converted-space">
    <w:name w:val="apple-converted-space"/>
    <w:basedOn w:val="a0"/>
    <w:rsid w:val="007D05C8"/>
  </w:style>
  <w:style w:type="character" w:styleId="a9">
    <w:name w:val="Hyperlink"/>
    <w:basedOn w:val="a0"/>
    <w:uiPriority w:val="99"/>
    <w:semiHidden/>
    <w:unhideWhenUsed/>
    <w:rsid w:val="007D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963">
      <w:bodyDiv w:val="1"/>
      <w:marLeft w:val="0"/>
      <w:marRight w:val="0"/>
      <w:marTop w:val="0"/>
      <w:marBottom w:val="0"/>
      <w:divBdr>
        <w:top w:val="none" w:sz="0" w:space="0" w:color="auto"/>
        <w:left w:val="none" w:sz="0" w:space="0" w:color="auto"/>
        <w:bottom w:val="none" w:sz="0" w:space="0" w:color="auto"/>
        <w:right w:val="none" w:sz="0" w:space="0" w:color="auto"/>
      </w:divBdr>
    </w:div>
    <w:div w:id="439229717">
      <w:bodyDiv w:val="1"/>
      <w:marLeft w:val="0"/>
      <w:marRight w:val="0"/>
      <w:marTop w:val="0"/>
      <w:marBottom w:val="0"/>
      <w:divBdr>
        <w:top w:val="none" w:sz="0" w:space="0" w:color="auto"/>
        <w:left w:val="none" w:sz="0" w:space="0" w:color="auto"/>
        <w:bottom w:val="none" w:sz="0" w:space="0" w:color="auto"/>
        <w:right w:val="none" w:sz="0" w:space="0" w:color="auto"/>
      </w:divBdr>
    </w:div>
    <w:div w:id="1118793140">
      <w:bodyDiv w:val="1"/>
      <w:marLeft w:val="0"/>
      <w:marRight w:val="0"/>
      <w:marTop w:val="0"/>
      <w:marBottom w:val="0"/>
      <w:divBdr>
        <w:top w:val="none" w:sz="0" w:space="0" w:color="auto"/>
        <w:left w:val="none" w:sz="0" w:space="0" w:color="auto"/>
        <w:bottom w:val="none" w:sz="0" w:space="0" w:color="auto"/>
        <w:right w:val="none" w:sz="0" w:space="0" w:color="auto"/>
      </w:divBdr>
    </w:div>
    <w:div w:id="1239242603">
      <w:bodyDiv w:val="1"/>
      <w:marLeft w:val="0"/>
      <w:marRight w:val="0"/>
      <w:marTop w:val="0"/>
      <w:marBottom w:val="0"/>
      <w:divBdr>
        <w:top w:val="none" w:sz="0" w:space="0" w:color="auto"/>
        <w:left w:val="none" w:sz="0" w:space="0" w:color="auto"/>
        <w:bottom w:val="none" w:sz="0" w:space="0" w:color="auto"/>
        <w:right w:val="none" w:sz="0" w:space="0" w:color="auto"/>
      </w:divBdr>
    </w:div>
    <w:div w:id="1624337397">
      <w:bodyDiv w:val="1"/>
      <w:marLeft w:val="0"/>
      <w:marRight w:val="0"/>
      <w:marTop w:val="0"/>
      <w:marBottom w:val="0"/>
      <w:divBdr>
        <w:top w:val="none" w:sz="0" w:space="0" w:color="auto"/>
        <w:left w:val="none" w:sz="0" w:space="0" w:color="auto"/>
        <w:bottom w:val="none" w:sz="0" w:space="0" w:color="auto"/>
        <w:right w:val="none" w:sz="0" w:space="0" w:color="auto"/>
      </w:divBdr>
    </w:div>
    <w:div w:id="1850682754">
      <w:bodyDiv w:val="1"/>
      <w:marLeft w:val="0"/>
      <w:marRight w:val="0"/>
      <w:marTop w:val="0"/>
      <w:marBottom w:val="0"/>
      <w:divBdr>
        <w:top w:val="none" w:sz="0" w:space="0" w:color="auto"/>
        <w:left w:val="none" w:sz="0" w:space="0" w:color="auto"/>
        <w:bottom w:val="none" w:sz="0" w:space="0" w:color="auto"/>
        <w:right w:val="none" w:sz="0" w:space="0" w:color="auto"/>
      </w:divBdr>
    </w:div>
    <w:div w:id="20686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5-tub.yandex.net/i?id=5357171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2978</Words>
  <Characters>1699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Барановская</dc:creator>
  <cp:keywords/>
  <dc:description/>
  <cp:lastModifiedBy>COMP</cp:lastModifiedBy>
  <cp:revision>17</cp:revision>
  <dcterms:created xsi:type="dcterms:W3CDTF">2015-11-24T11:37:00Z</dcterms:created>
  <dcterms:modified xsi:type="dcterms:W3CDTF">2017-12-01T14:28:00Z</dcterms:modified>
</cp:coreProperties>
</file>